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01530515"/>
        <w:docPartObj>
          <w:docPartGallery w:val="Cover Pages"/>
          <w:docPartUnique/>
        </w:docPartObj>
      </w:sdtPr>
      <w:sdtEndPr>
        <w:rPr>
          <w:rFonts w:ascii="Garamond" w:hAnsi="Garamond"/>
        </w:rPr>
      </w:sdtEndPr>
      <w:sdtContent>
        <w:p w14:paraId="287DD25F" w14:textId="14570BA7" w:rsidR="00625041" w:rsidRDefault="00625041">
          <w:r>
            <w:rPr>
              <w:noProof/>
            </w:rPr>
            <mc:AlternateContent>
              <mc:Choice Requires="wps">
                <w:drawing>
                  <wp:anchor distT="0" distB="0" distL="114300" distR="114300" simplePos="0" relativeHeight="251670528" behindDoc="1" locked="0" layoutInCell="1" allowOverlap="1" wp14:anchorId="0E16CC09" wp14:editId="0EBF2852">
                    <wp:simplePos x="0" y="0"/>
                    <mc:AlternateContent>
                      <mc:Choice Requires="wp14">
                        <wp:positionH relativeFrom="page">
                          <wp14:pctPosHOffset>10000</wp14:pctPosHOffset>
                        </wp:positionH>
                      </mc:Choice>
                      <mc:Fallback>
                        <wp:positionH relativeFrom="page">
                          <wp:posOffset>755650</wp:posOffset>
                        </wp:positionH>
                      </mc:Fallback>
                    </mc:AlternateContent>
                    <mc:AlternateContent>
                      <mc:Choice Requires="wp14">
                        <wp:positionV relativeFrom="page">
                          <wp14:pctPosVOffset>15000</wp14:pctPosVOffset>
                        </wp:positionV>
                      </mc:Choice>
                      <mc:Fallback>
                        <wp:positionV relativeFrom="page">
                          <wp:posOffset>1603375</wp:posOffset>
                        </wp:positionV>
                      </mc:Fallback>
                    </mc:AlternateContent>
                    <wp:extent cx="0" cy="1543050"/>
                    <wp:effectExtent l="19050" t="0" r="19050" b="23495"/>
                    <wp:wrapNone/>
                    <wp:docPr id="37" name="Straight Connector 137"/>
                    <wp:cNvGraphicFramePr/>
                    <a:graphic xmlns:a="http://schemas.openxmlformats.org/drawingml/2006/main">
                      <a:graphicData uri="http://schemas.microsoft.com/office/word/2010/wordprocessingShape">
                        <wps:wsp>
                          <wps:cNvCnPr/>
                          <wps:spPr>
                            <a:xfrm>
                              <a:off x="0" y="0"/>
                              <a:ext cx="0" cy="1543050"/>
                            </a:xfrm>
                            <a:prstGeom prst="line">
                              <a:avLst/>
                            </a:prstGeom>
                            <a:ln w="28575">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page">
                      <wp14:pctHeight>79500</wp14:pctHeight>
                    </wp14:sizeRelV>
                  </wp:anchor>
                </w:drawing>
              </mc:Choice>
              <mc:Fallback>
                <w:pict>
                  <v:line w14:anchorId="6E46BBBF" id="Straight Connector 137" o:spid="_x0000_s1026" style="position:absolute;z-index:-251645952;visibility:visible;mso-wrap-style:square;mso-height-percent:795;mso-left-percent:100;mso-top-percent:150;mso-wrap-distance-left:9pt;mso-wrap-distance-top:0;mso-wrap-distance-right:9pt;mso-wrap-distance-bottom:0;mso-position-horizontal-relative:page;mso-position-vertical-relative:page;mso-height-percent:795;mso-left-percent:100;mso-top-percent:150;mso-height-relative:page" from="0,0" to="0,1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" strokecolor="#272727 [2749]" strokeweight="2.25pt">
                    <v:stroke joinstyle="miter"/>
                    <w10:wrap anchorx="page" anchory="page"/>
                  </v:line>
                </w:pict>
              </mc:Fallback>
            </mc:AlternateContent>
          </w:r>
          <w:r>
            <w:rPr>
              <w:noProof/>
            </w:rPr>
            <mc:AlternateContent>
              <mc:Choice Requires="wps">
                <w:drawing>
                  <wp:anchor distT="0" distB="0" distL="114300" distR="114300" simplePos="0" relativeHeight="251669504" behindDoc="0" locked="0" layoutInCell="1" allowOverlap="1" wp14:anchorId="1E48D0A8" wp14:editId="6A7970BB">
                    <wp:simplePos x="0" y="0"/>
                    <wp:positionH relativeFrom="page">
                      <wp:align>left</wp:align>
                    </wp:positionH>
                    <mc:AlternateContent>
                      <mc:Choice Requires="wp14">
                        <wp:positionV relativeFrom="page">
                          <wp14:pctPosVOffset>15000</wp14:pctPosVOffset>
                        </wp:positionV>
                      </mc:Choice>
                      <mc:Fallback>
                        <wp:positionV relativeFrom="page">
                          <wp:posOffset>1603375</wp:posOffset>
                        </wp:positionV>
                      </mc:Fallback>
                    </mc:AlternateContent>
                    <wp:extent cx="5534025" cy="2724912"/>
                    <wp:effectExtent l="0" t="0" r="0" b="2540"/>
                    <wp:wrapNone/>
                    <wp:docPr id="38" name="Text Box 139" title="Title and subtitle"/>
                    <wp:cNvGraphicFramePr/>
                    <a:graphic xmlns:a="http://schemas.openxmlformats.org/drawingml/2006/main">
                      <a:graphicData uri="http://schemas.microsoft.com/office/word/2010/wordprocessingShape">
                        <wps:wsp>
                          <wps:cNvSpPr txBox="1"/>
                          <wps:spPr>
                            <a:xfrm>
                              <a:off x="0" y="0"/>
                              <a:ext cx="5534025" cy="2724912"/>
                            </a:xfrm>
                            <a:prstGeom prst="rect">
                              <a:avLst/>
                            </a:prstGeom>
                            <a:noFill/>
                            <a:ln w="6350">
                              <a:noFill/>
                            </a:ln>
                          </wps:spPr>
                          <wps:txbx>
                            <w:txbxContent>
                              <w:sdt>
                                <w:sdtPr>
                                  <w:rPr>
                                    <w:rFonts w:ascii="Garamond" w:hAnsi="Garamond"/>
                                    <w:i/>
                                    <w:caps/>
                                    <w:color w:val="262626" w:themeColor="text1" w:themeTint="D9"/>
                                    <w:sz w:val="120"/>
                                    <w:szCs w:val="120"/>
                                  </w:rPr>
                                  <w:alias w:val="Title"/>
                                  <w:tag w:val=""/>
                                  <w:id w:val="1666976605"/>
                                  <w:dataBinding w:prefixMappings="xmlns:ns0='http://purl.org/dc/elements/1.1/' xmlns:ns1='http://schemas.openxmlformats.org/package/2006/metadata/core-properties' " w:xpath="/ns1:coreProperties[1]/ns0:title[1]" w:storeItemID="{6C3C8BC8-F283-45AE-878A-BAB7291924A1}"/>
                                  <w15:appearance w15:val="hidden"/>
                                  <w:text/>
                                </w:sdtPr>
                                <w:sdtContent>
                                  <w:p w14:paraId="4C3CD1EB" w14:textId="53B61DBC" w:rsidR="00625041" w:rsidRPr="003C544B" w:rsidRDefault="00625041">
                                    <w:pPr>
                                      <w:pStyle w:val="NoSpacing"/>
                                      <w:spacing w:after="900"/>
                                      <w:rPr>
                                        <w:rFonts w:ascii="Garamond" w:hAnsi="Garamond"/>
                                        <w:i/>
                                        <w:caps/>
                                        <w:color w:val="262626" w:themeColor="text1" w:themeTint="D9"/>
                                        <w:sz w:val="120"/>
                                        <w:szCs w:val="120"/>
                                      </w:rPr>
                                    </w:pPr>
                                    <w:r w:rsidRPr="003C544B">
                                      <w:rPr>
                                        <w:rFonts w:ascii="Garamond" w:hAnsi="Garamond"/>
                                        <w:i/>
                                        <w:caps/>
                                        <w:color w:val="262626" w:themeColor="text1" w:themeTint="D9"/>
                                        <w:sz w:val="120"/>
                                        <w:szCs w:val="120"/>
                                      </w:rPr>
                                      <w:t>The values of the carphone warehouse</w:t>
                                    </w:r>
                                  </w:p>
                                </w:sdtContent>
                              </w:sdt>
                              <w:sdt>
                                <w:sdtPr>
                                  <w:rPr>
                                    <w:rFonts w:ascii="Garamond" w:hAnsi="Garamond"/>
                                    <w:iCs/>
                                    <w:color w:val="262626" w:themeColor="text1" w:themeTint="D9"/>
                                    <w:sz w:val="32"/>
                                    <w:szCs w:val="32"/>
                                  </w:rPr>
                                  <w:alias w:val="Subtitle"/>
                                  <w:tag w:val=""/>
                                  <w:id w:val="1143773791"/>
                                  <w:dataBinding w:prefixMappings="xmlns:ns0='http://purl.org/dc/elements/1.1/' xmlns:ns1='http://schemas.openxmlformats.org/package/2006/metadata/core-properties' " w:xpath="/ns1:coreProperties[1]/ns0:subject[1]" w:storeItemID="{6C3C8BC8-F283-45AE-878A-BAB7291924A1}"/>
                                  <w15:appearance w15:val="hidden"/>
                                  <w:text/>
                                </w:sdtPr>
                                <w:sdtContent>
                                  <w:p w14:paraId="544E070D" w14:textId="367AD4A3" w:rsidR="00625041" w:rsidRPr="003C544B" w:rsidRDefault="002C3788">
                                    <w:pPr>
                                      <w:pStyle w:val="NoSpacing"/>
                                      <w:rPr>
                                        <w:rFonts w:ascii="Garamond" w:hAnsi="Garamond"/>
                                        <w:i/>
                                        <w:color w:val="262626" w:themeColor="text1" w:themeTint="D9"/>
                                        <w:sz w:val="36"/>
                                        <w:szCs w:val="36"/>
                                      </w:rPr>
                                    </w:pPr>
                                    <w:r>
                                      <w:rPr>
                                        <w:rFonts w:ascii="Garamond" w:hAnsi="Garamond"/>
                                        <w:iCs/>
                                        <w:color w:val="262626" w:themeColor="text1" w:themeTint="D9"/>
                                        <w:sz w:val="32"/>
                                        <w:szCs w:val="32"/>
                                      </w:rPr>
                                      <w:t>Paul Sagar, King’s College London</w:t>
                                    </w:r>
                                  </w:p>
                                </w:sdtContent>
                              </w:sdt>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spAutoFit/>
                          </wps:bodyPr>
                        </wps:wsp>
                      </a:graphicData>
                    </a:graphic>
                    <wp14:sizeRelH relativeFrom="page">
                      <wp14:pctWidth>89000</wp14:pctWidth>
                    </wp14:sizeRelH>
                    <wp14:sizeRelV relativeFrom="margin">
                      <wp14:pctHeight>0</wp14:pctHeight>
                    </wp14:sizeRelV>
                  </wp:anchor>
                </w:drawing>
              </mc:Choice>
              <mc:Fallback>
                <w:pict>
                  <v:shapetype w14:anchorId="1E48D0A8" id="_x0000_t202" coordsize="21600,21600" o:spt="202" path="m,l,21600r21600,l21600,xe">
                    <v:stroke joinstyle="miter"/>
                    <v:path gradientshapeok="t" o:connecttype="rect"/>
                  </v:shapetype>
                  <v:shape id="Text Box 139" o:spid="_x0000_s1026" type="#_x0000_t202" alt="Title: Title and subtitle" style="position:absolute;margin-left:0;margin-top:0;width:435.75pt;height:214.55pt;z-index:251669504;visibility:visible;mso-wrap-style:square;mso-width-percent:890;mso-height-percent:0;mso-top-percent:150;mso-wrap-distance-left:9pt;mso-wrap-distance-top:0;mso-wrap-distance-right:9pt;mso-wrap-distance-bottom:0;mso-position-horizontal:left;mso-position-horizontal-relative:page;mso-position-vertical-relative:page;mso-width-percent:890;mso-height-percent:0;mso-top-percent:15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" filled="f" stroked="f" strokeweight=".5pt">
                    <v:textbox style="mso-fit-shape-to-text:t" inset="93.6pt,,0">
                      <w:txbxContent>
                        <w:sdt>
                          <w:sdtPr>
                            <w:rPr>
                              <w:rFonts w:ascii="Garamond" w:hAnsi="Garamond"/>
                              <w:i/>
                              <w:caps/>
                              <w:color w:val="262626" w:themeColor="text1" w:themeTint="D9"/>
                              <w:sz w:val="120"/>
                              <w:szCs w:val="120"/>
                            </w:rPr>
                            <w:alias w:val="Title"/>
                            <w:tag w:val=""/>
                            <w:id w:val="1666976605"/>
                            <w:dataBinding w:prefixMappings="xmlns:ns0='http://purl.org/dc/elements/1.1/' xmlns:ns1='http://schemas.openxmlformats.org/package/2006/metadata/core-properties' " w:xpath="/ns1:coreProperties[1]/ns0:title[1]" w:storeItemID="{6C3C8BC8-F283-45AE-878A-BAB7291924A1}"/>
                            <w15:appearance w15:val="hidden"/>
                            <w:text/>
                          </w:sdtPr>
                          <w:sdtContent>
                            <w:p w14:paraId="4C3CD1EB" w14:textId="53B61DBC" w:rsidR="00625041" w:rsidRPr="003C544B" w:rsidRDefault="00625041">
                              <w:pPr>
                                <w:pStyle w:val="NoSpacing"/>
                                <w:spacing w:after="900"/>
                                <w:rPr>
                                  <w:rFonts w:ascii="Garamond" w:hAnsi="Garamond"/>
                                  <w:i/>
                                  <w:caps/>
                                  <w:color w:val="262626" w:themeColor="text1" w:themeTint="D9"/>
                                  <w:sz w:val="120"/>
                                  <w:szCs w:val="120"/>
                                </w:rPr>
                              </w:pPr>
                              <w:r w:rsidRPr="003C544B">
                                <w:rPr>
                                  <w:rFonts w:ascii="Garamond" w:hAnsi="Garamond"/>
                                  <w:i/>
                                  <w:caps/>
                                  <w:color w:val="262626" w:themeColor="text1" w:themeTint="D9"/>
                                  <w:sz w:val="120"/>
                                  <w:szCs w:val="120"/>
                                </w:rPr>
                                <w:t>The values of the carphone warehouse</w:t>
                              </w:r>
                            </w:p>
                          </w:sdtContent>
                        </w:sdt>
                        <w:sdt>
                          <w:sdtPr>
                            <w:rPr>
                              <w:rFonts w:ascii="Garamond" w:hAnsi="Garamond"/>
                              <w:iCs/>
                              <w:color w:val="262626" w:themeColor="text1" w:themeTint="D9"/>
                              <w:sz w:val="32"/>
                              <w:szCs w:val="32"/>
                            </w:rPr>
                            <w:alias w:val="Subtitle"/>
                            <w:tag w:val=""/>
                            <w:id w:val="1143773791"/>
                            <w:dataBinding w:prefixMappings="xmlns:ns0='http://purl.org/dc/elements/1.1/' xmlns:ns1='http://schemas.openxmlformats.org/package/2006/metadata/core-properties' " w:xpath="/ns1:coreProperties[1]/ns0:subject[1]" w:storeItemID="{6C3C8BC8-F283-45AE-878A-BAB7291924A1}"/>
                            <w15:appearance w15:val="hidden"/>
                            <w:text/>
                          </w:sdtPr>
                          <w:sdtContent>
                            <w:p w14:paraId="544E070D" w14:textId="367AD4A3" w:rsidR="00625041" w:rsidRPr="003C544B" w:rsidRDefault="002C3788">
                              <w:pPr>
                                <w:pStyle w:val="NoSpacing"/>
                                <w:rPr>
                                  <w:rFonts w:ascii="Garamond" w:hAnsi="Garamond"/>
                                  <w:i/>
                                  <w:color w:val="262626" w:themeColor="text1" w:themeTint="D9"/>
                                  <w:sz w:val="36"/>
                                  <w:szCs w:val="36"/>
                                </w:rPr>
                              </w:pPr>
                              <w:r>
                                <w:rPr>
                                  <w:rFonts w:ascii="Garamond" w:hAnsi="Garamond"/>
                                  <w:iCs/>
                                  <w:color w:val="262626" w:themeColor="text1" w:themeTint="D9"/>
                                  <w:sz w:val="32"/>
                                  <w:szCs w:val="32"/>
                                </w:rPr>
                                <w:t>Paul Sagar, King’s College London</w:t>
                              </w:r>
                            </w:p>
                          </w:sdtContent>
                        </w:sdt>
                      </w:txbxContent>
                    </v:textbox>
                    <w10:wrap anchorx="page" anchory="page"/>
                  </v:shape>
                </w:pict>
              </mc:Fallback>
            </mc:AlternateContent>
          </w:r>
        </w:p>
        <w:p w14:paraId="26C74C45" w14:textId="21FF886C" w:rsidR="00625041" w:rsidRDefault="00625041">
          <w:pPr>
            <w:rPr>
              <w:rFonts w:ascii="Garamond" w:hAnsi="Garamond"/>
            </w:rPr>
          </w:pPr>
          <w:r>
            <w:rPr>
              <w:rFonts w:ascii="Garamond" w:hAnsi="Garamond"/>
            </w:rPr>
            <w:br w:type="page"/>
          </w:r>
        </w:p>
      </w:sdtContent>
    </w:sdt>
    <w:p w14:paraId="6CC4E74D" w14:textId="77777777" w:rsidR="00B15DF8" w:rsidRDefault="00B15DF8" w:rsidP="003C544B">
      <w:pPr>
        <w:rPr>
          <w:rFonts w:ascii="Garamond" w:hAnsi="Garamond"/>
          <w:iCs/>
          <w:sz w:val="28"/>
          <w:szCs w:val="28"/>
        </w:rPr>
      </w:pPr>
    </w:p>
    <w:p w14:paraId="75AB8837" w14:textId="77777777" w:rsidR="00B15DF8" w:rsidRDefault="00B15DF8" w:rsidP="003C544B">
      <w:pPr>
        <w:rPr>
          <w:rFonts w:ascii="Garamond" w:hAnsi="Garamond"/>
          <w:iCs/>
          <w:sz w:val="28"/>
          <w:szCs w:val="28"/>
        </w:rPr>
      </w:pPr>
    </w:p>
    <w:p w14:paraId="19291E69" w14:textId="489D5332" w:rsidR="00B15DF8" w:rsidRPr="00B15DF8" w:rsidRDefault="00B15DF8" w:rsidP="003C544B">
      <w:pPr>
        <w:rPr>
          <w:rFonts w:ascii="Garamond" w:hAnsi="Garamond"/>
          <w:b/>
          <w:bCs/>
          <w:iCs/>
          <w:sz w:val="36"/>
          <w:szCs w:val="36"/>
        </w:rPr>
      </w:pPr>
      <w:r w:rsidRPr="00B15DF8">
        <w:rPr>
          <w:rFonts w:ascii="Garamond" w:hAnsi="Garamond"/>
          <w:b/>
          <w:bCs/>
          <w:iCs/>
          <w:sz w:val="36"/>
          <w:szCs w:val="36"/>
        </w:rPr>
        <w:t>Abstract</w:t>
      </w:r>
    </w:p>
    <w:p w14:paraId="1460C989" w14:textId="77777777" w:rsidR="00B15DF8" w:rsidRPr="00B15DF8" w:rsidRDefault="00B15DF8" w:rsidP="003C544B">
      <w:pPr>
        <w:rPr>
          <w:rFonts w:ascii="Garamond" w:hAnsi="Garamond"/>
          <w:b/>
          <w:bCs/>
          <w:iCs/>
          <w:sz w:val="28"/>
          <w:szCs w:val="28"/>
        </w:rPr>
      </w:pPr>
    </w:p>
    <w:p w14:paraId="11D38F82" w14:textId="15F0B3C4" w:rsidR="00B15DF8" w:rsidRPr="00B15DF8" w:rsidRDefault="00000000" w:rsidP="00B15DF8">
      <w:pPr>
        <w:rPr>
          <w:rFonts w:ascii="Garamond" w:hAnsi="Garamond"/>
          <w:iCs/>
          <w:sz w:val="28"/>
          <w:szCs w:val="28"/>
          <w:lang w:val="en-US"/>
        </w:rPr>
      </w:pPr>
      <w:sdt>
        <w:sdtPr>
          <w:rPr>
            <w:rFonts w:ascii="Garamond" w:hAnsi="Garamond"/>
            <w:iCs/>
            <w:sz w:val="28"/>
            <w:szCs w:val="28"/>
            <w:lang w:val="en-US"/>
          </w:rPr>
          <w:alias w:val="Author"/>
          <w:tag w:val=""/>
          <w:id w:val="-683049260"/>
          <w:dataBinding w:prefixMappings="xmlns:ns0='http://purl.org/dc/elements/1.1/' xmlns:ns1='http://schemas.openxmlformats.org/package/2006/metadata/core-properties' " w:xpath="/ns1:coreProperties[1]/ns0:creator[1]" w:storeItemID="{6C3C8BC8-F283-45AE-878A-BAB7291924A1}"/>
          <w15:appearance w15:val="hidden"/>
          <w:text/>
        </w:sdtPr>
        <w:sdtContent>
          <w:r w:rsidR="002C3788">
            <w:rPr>
              <w:rFonts w:ascii="Garamond" w:hAnsi="Garamond"/>
              <w:iCs/>
              <w:sz w:val="28"/>
              <w:szCs w:val="28"/>
              <w:lang w:val="en-US"/>
            </w:rPr>
            <w:t>Why are brands sometimes marketed as having values? According to what I term the Cynical Take, this is always – and can only ever be – a disingenuous ploy to make profit. Yet the Cynical Take is not enough; if we rely on it to explain all and every circumstance, we will fail to appreciate important features and nuances of ethical life under capitalism. To see why this is so, we must properly appreciate the nature of profit seeking, whilst recognizing that it necessarily clashes with widely shared moral intuitions emanating from baseline commitments to group cooperation. Once this is recognized, we see that properly appreciating the moral phenomenology of consumer capitalism requires more than cynicism.</w:t>
          </w:r>
        </w:sdtContent>
      </w:sdt>
      <w:r w:rsidR="00B15DF8" w:rsidRPr="00B15DF8">
        <w:rPr>
          <w:rFonts w:ascii="Garamond" w:hAnsi="Garamond"/>
          <w:iCs/>
          <w:sz w:val="28"/>
          <w:szCs w:val="28"/>
          <w:lang w:val="en-US"/>
        </w:rPr>
        <w:t xml:space="preserve"> </w:t>
      </w:r>
    </w:p>
    <w:p w14:paraId="7C352632" w14:textId="77777777" w:rsidR="00B15DF8" w:rsidRDefault="00B15DF8" w:rsidP="00B15DF8">
      <w:pPr>
        <w:rPr>
          <w:rFonts w:ascii="Garamond" w:hAnsi="Garamond"/>
          <w:iCs/>
          <w:sz w:val="28"/>
          <w:szCs w:val="28"/>
          <w:lang w:val="en-US"/>
        </w:rPr>
      </w:pPr>
    </w:p>
    <w:p w14:paraId="1A7A9B61" w14:textId="77777777" w:rsidR="00B15DF8" w:rsidRDefault="00B15DF8" w:rsidP="00B15DF8">
      <w:pPr>
        <w:rPr>
          <w:rFonts w:ascii="Garamond" w:hAnsi="Garamond"/>
          <w:iCs/>
          <w:sz w:val="28"/>
          <w:szCs w:val="28"/>
          <w:lang w:val="en-US"/>
        </w:rPr>
      </w:pPr>
      <w:r w:rsidRPr="003C544B">
        <w:rPr>
          <w:rFonts w:ascii="Garamond" w:hAnsi="Garamond"/>
          <w:b/>
          <w:bCs/>
          <w:iCs/>
          <w:sz w:val="28"/>
          <w:szCs w:val="28"/>
          <w:u w:val="single"/>
          <w:lang w:val="en-US"/>
        </w:rPr>
        <w:t>Keywords</w:t>
      </w:r>
      <w:r w:rsidRPr="003C544B">
        <w:rPr>
          <w:rFonts w:ascii="Garamond" w:hAnsi="Garamond"/>
          <w:iCs/>
          <w:sz w:val="28"/>
          <w:szCs w:val="28"/>
          <w:lang w:val="en-US"/>
        </w:rPr>
        <w:t>: brands, values, woke washing, profit, cooperation</w:t>
      </w:r>
    </w:p>
    <w:p w14:paraId="6CA7A5F0" w14:textId="77777777" w:rsidR="00B15DF8" w:rsidRDefault="00B15DF8" w:rsidP="00B15DF8">
      <w:pPr>
        <w:rPr>
          <w:rFonts w:ascii="Garamond" w:hAnsi="Garamond"/>
          <w:iCs/>
          <w:sz w:val="28"/>
          <w:szCs w:val="28"/>
          <w:lang w:val="en-US"/>
        </w:rPr>
      </w:pPr>
    </w:p>
    <w:p w14:paraId="3619AB76" w14:textId="6C55204A" w:rsidR="00B15DF8" w:rsidRDefault="00B15DF8" w:rsidP="003C544B">
      <w:pPr>
        <w:rPr>
          <w:rFonts w:ascii="Garamond" w:hAnsi="Garamond"/>
          <w:iCs/>
          <w:sz w:val="28"/>
          <w:szCs w:val="28"/>
        </w:rPr>
      </w:pPr>
      <w:r w:rsidRPr="003C544B">
        <w:rPr>
          <w:rFonts w:ascii="Garamond" w:hAnsi="Garamond"/>
          <w:b/>
          <w:bCs/>
          <w:iCs/>
          <w:sz w:val="28"/>
          <w:szCs w:val="28"/>
          <w:u w:val="single"/>
        </w:rPr>
        <w:t>Competing Interests</w:t>
      </w:r>
      <w:r w:rsidRPr="003C544B">
        <w:rPr>
          <w:rFonts w:ascii="Garamond" w:hAnsi="Garamond"/>
          <w:iCs/>
          <w:sz w:val="28"/>
          <w:szCs w:val="28"/>
        </w:rPr>
        <w:t>: The author declares non</w:t>
      </w:r>
      <w:r>
        <w:rPr>
          <w:rFonts w:ascii="Garamond" w:hAnsi="Garamond"/>
          <w:iCs/>
          <w:sz w:val="28"/>
          <w:szCs w:val="28"/>
        </w:rPr>
        <w:t>e</w:t>
      </w:r>
    </w:p>
    <w:p w14:paraId="6A9B86CD" w14:textId="77777777" w:rsidR="00D1085B" w:rsidRDefault="00D1085B" w:rsidP="003C544B">
      <w:pPr>
        <w:rPr>
          <w:rFonts w:ascii="Garamond" w:hAnsi="Garamond"/>
          <w:iCs/>
          <w:sz w:val="28"/>
          <w:szCs w:val="28"/>
        </w:rPr>
      </w:pPr>
    </w:p>
    <w:p w14:paraId="73E7B49C" w14:textId="435319F5" w:rsidR="00D1085B" w:rsidRPr="00077F96" w:rsidRDefault="00D1085B" w:rsidP="003C544B">
      <w:pPr>
        <w:rPr>
          <w:rFonts w:ascii="Garamond" w:hAnsi="Garamond"/>
          <w:iCs/>
          <w:sz w:val="28"/>
          <w:szCs w:val="28"/>
        </w:rPr>
      </w:pPr>
      <w:r w:rsidRPr="00D1085B">
        <w:rPr>
          <w:rFonts w:ascii="Garamond" w:hAnsi="Garamond"/>
          <w:b/>
          <w:bCs/>
          <w:iCs/>
          <w:sz w:val="28"/>
          <w:szCs w:val="28"/>
          <w:u w:val="single"/>
        </w:rPr>
        <w:t>Author biography</w:t>
      </w:r>
      <w:r>
        <w:rPr>
          <w:rFonts w:ascii="Garamond" w:hAnsi="Garamond"/>
          <w:iCs/>
          <w:sz w:val="28"/>
          <w:szCs w:val="28"/>
        </w:rPr>
        <w:t xml:space="preserve">: Paul Sagar is Reader in Political Theory at the Department of Political Economy, King’s College London. He is the author of </w:t>
      </w:r>
      <w:r w:rsidRPr="00D1085B">
        <w:rPr>
          <w:rFonts w:ascii="Garamond" w:hAnsi="Garamond"/>
          <w:i/>
          <w:sz w:val="28"/>
          <w:szCs w:val="28"/>
        </w:rPr>
        <w:t>The Opinion of Mankind</w:t>
      </w:r>
      <w:r w:rsidR="00801DCC">
        <w:rPr>
          <w:rFonts w:ascii="Garamond" w:hAnsi="Garamond"/>
          <w:i/>
          <w:sz w:val="28"/>
          <w:szCs w:val="28"/>
        </w:rPr>
        <w:t>: Sociability and the Theory of the State from Hobbes to Smith</w:t>
      </w:r>
      <w:r w:rsidR="00801DCC">
        <w:rPr>
          <w:rFonts w:ascii="Garamond" w:hAnsi="Garamond"/>
          <w:iCs/>
          <w:sz w:val="28"/>
          <w:szCs w:val="28"/>
        </w:rPr>
        <w:t xml:space="preserve"> (2018)</w:t>
      </w:r>
      <w:r>
        <w:rPr>
          <w:rFonts w:ascii="Garamond" w:hAnsi="Garamond"/>
          <w:iCs/>
          <w:sz w:val="28"/>
          <w:szCs w:val="28"/>
        </w:rPr>
        <w:t xml:space="preserve">, </w:t>
      </w:r>
      <w:r w:rsidRPr="00D1085B">
        <w:rPr>
          <w:rFonts w:ascii="Garamond" w:hAnsi="Garamond"/>
          <w:i/>
          <w:sz w:val="28"/>
          <w:szCs w:val="28"/>
        </w:rPr>
        <w:t>Adam Smith Reconsidered</w:t>
      </w:r>
      <w:r w:rsidR="00801DCC">
        <w:rPr>
          <w:rFonts w:ascii="Garamond" w:hAnsi="Garamond"/>
          <w:i/>
          <w:sz w:val="28"/>
          <w:szCs w:val="28"/>
        </w:rPr>
        <w:t>: History, Liberty, and the Foundations of Modern Politics</w:t>
      </w:r>
      <w:r w:rsidR="00801DCC">
        <w:rPr>
          <w:rFonts w:ascii="Garamond" w:hAnsi="Garamond"/>
          <w:iCs/>
          <w:sz w:val="28"/>
          <w:szCs w:val="28"/>
        </w:rPr>
        <w:t xml:space="preserve"> (2022)</w:t>
      </w:r>
      <w:r>
        <w:rPr>
          <w:rFonts w:ascii="Garamond" w:hAnsi="Garamond"/>
          <w:iCs/>
          <w:sz w:val="28"/>
          <w:szCs w:val="28"/>
        </w:rPr>
        <w:t xml:space="preserve">, and </w:t>
      </w:r>
      <w:r w:rsidRPr="00D1085B">
        <w:rPr>
          <w:rFonts w:ascii="Garamond" w:hAnsi="Garamond"/>
          <w:i/>
          <w:sz w:val="28"/>
          <w:szCs w:val="28"/>
        </w:rPr>
        <w:t>Basic Equality</w:t>
      </w:r>
      <w:r w:rsidR="00801DCC">
        <w:rPr>
          <w:rFonts w:ascii="Garamond" w:hAnsi="Garamond"/>
          <w:i/>
          <w:sz w:val="28"/>
          <w:szCs w:val="28"/>
        </w:rPr>
        <w:t xml:space="preserve"> </w:t>
      </w:r>
      <w:r w:rsidR="00801DCC">
        <w:rPr>
          <w:rFonts w:ascii="Garamond" w:hAnsi="Garamond"/>
          <w:iCs/>
          <w:sz w:val="28"/>
          <w:szCs w:val="28"/>
        </w:rPr>
        <w:t>(2024)</w:t>
      </w:r>
      <w:r>
        <w:rPr>
          <w:rFonts w:ascii="Garamond" w:hAnsi="Garamond"/>
          <w:iCs/>
          <w:sz w:val="28"/>
          <w:szCs w:val="28"/>
        </w:rPr>
        <w:t xml:space="preserve">, all published with Princeton University Press. He has published in leading journals such as </w:t>
      </w:r>
      <w:r w:rsidR="00801DCC">
        <w:rPr>
          <w:rFonts w:ascii="Garamond" w:hAnsi="Garamond"/>
          <w:i/>
          <w:sz w:val="28"/>
          <w:szCs w:val="28"/>
        </w:rPr>
        <w:t xml:space="preserve">The </w:t>
      </w:r>
      <w:r w:rsidRPr="00D1085B">
        <w:rPr>
          <w:rFonts w:ascii="Garamond" w:hAnsi="Garamond"/>
          <w:i/>
          <w:sz w:val="28"/>
          <w:szCs w:val="28"/>
        </w:rPr>
        <w:t>Journal of Politics</w:t>
      </w:r>
      <w:r>
        <w:rPr>
          <w:rFonts w:ascii="Garamond" w:hAnsi="Garamond"/>
          <w:iCs/>
          <w:sz w:val="28"/>
          <w:szCs w:val="28"/>
        </w:rPr>
        <w:t xml:space="preserve">, </w:t>
      </w:r>
      <w:r w:rsidRPr="00D1085B">
        <w:rPr>
          <w:rFonts w:ascii="Garamond" w:hAnsi="Garamond"/>
          <w:i/>
          <w:sz w:val="28"/>
          <w:szCs w:val="28"/>
        </w:rPr>
        <w:t>Political Theory</w:t>
      </w:r>
      <w:r>
        <w:rPr>
          <w:rFonts w:ascii="Garamond" w:hAnsi="Garamond"/>
          <w:iCs/>
          <w:sz w:val="28"/>
          <w:szCs w:val="28"/>
        </w:rPr>
        <w:t xml:space="preserve">, and </w:t>
      </w:r>
      <w:r w:rsidRPr="00D1085B">
        <w:rPr>
          <w:rFonts w:ascii="Garamond" w:hAnsi="Garamond"/>
          <w:i/>
          <w:sz w:val="28"/>
          <w:szCs w:val="28"/>
        </w:rPr>
        <w:t>History of Political Thought</w:t>
      </w:r>
      <w:r>
        <w:rPr>
          <w:rFonts w:ascii="Garamond" w:hAnsi="Garamond"/>
          <w:iCs/>
          <w:sz w:val="28"/>
          <w:szCs w:val="28"/>
        </w:rPr>
        <w:t xml:space="preserve">, </w:t>
      </w:r>
      <w:r w:rsidR="00077F96">
        <w:rPr>
          <w:rFonts w:ascii="Garamond" w:hAnsi="Garamond"/>
          <w:iCs/>
          <w:sz w:val="28"/>
          <w:szCs w:val="28"/>
        </w:rPr>
        <w:t xml:space="preserve">as well as more popular works for outlets such as </w:t>
      </w:r>
      <w:r w:rsidR="00077F96" w:rsidRPr="00077F96">
        <w:rPr>
          <w:rFonts w:ascii="Garamond" w:hAnsi="Garamond"/>
          <w:i/>
          <w:sz w:val="28"/>
          <w:szCs w:val="28"/>
        </w:rPr>
        <w:t>The Guardian</w:t>
      </w:r>
      <w:r w:rsidR="00077F96">
        <w:rPr>
          <w:rFonts w:ascii="Garamond" w:hAnsi="Garamond"/>
          <w:iCs/>
          <w:sz w:val="28"/>
          <w:szCs w:val="28"/>
        </w:rPr>
        <w:t xml:space="preserve">, </w:t>
      </w:r>
      <w:r w:rsidR="00077F96" w:rsidRPr="00077F96">
        <w:rPr>
          <w:rFonts w:ascii="Garamond" w:hAnsi="Garamond"/>
          <w:i/>
          <w:sz w:val="28"/>
          <w:szCs w:val="28"/>
        </w:rPr>
        <w:t>Times Literary Supplement</w:t>
      </w:r>
      <w:r w:rsidR="00077F96">
        <w:rPr>
          <w:rFonts w:ascii="Garamond" w:hAnsi="Garamond"/>
          <w:iCs/>
          <w:sz w:val="28"/>
          <w:szCs w:val="28"/>
        </w:rPr>
        <w:t xml:space="preserve">, and </w:t>
      </w:r>
      <w:proofErr w:type="spellStart"/>
      <w:r w:rsidR="00077F96" w:rsidRPr="00077F96">
        <w:rPr>
          <w:rFonts w:ascii="Garamond" w:hAnsi="Garamond"/>
          <w:i/>
          <w:sz w:val="28"/>
          <w:szCs w:val="28"/>
        </w:rPr>
        <w:t>Unherd</w:t>
      </w:r>
      <w:proofErr w:type="spellEnd"/>
      <w:r w:rsidR="00077F96">
        <w:rPr>
          <w:rFonts w:ascii="Garamond" w:hAnsi="Garamond"/>
          <w:iCs/>
          <w:sz w:val="28"/>
          <w:szCs w:val="28"/>
        </w:rPr>
        <w:t>. In 2020 he received the Early Career Award for excellence in teaching and research from the British and Irish Association for Political Thought.</w:t>
      </w:r>
    </w:p>
    <w:p w14:paraId="5E327906" w14:textId="4B86E403" w:rsidR="003C544B" w:rsidRDefault="003C544B">
      <w:pPr>
        <w:rPr>
          <w:rFonts w:ascii="Garamond" w:hAnsi="Garamond"/>
          <w:b/>
          <w:bCs/>
          <w:sz w:val="36"/>
          <w:szCs w:val="36"/>
        </w:rPr>
      </w:pPr>
    </w:p>
    <w:p w14:paraId="2AD00296" w14:textId="77777777" w:rsidR="00B15DF8" w:rsidRDefault="00B15DF8">
      <w:pPr>
        <w:rPr>
          <w:rFonts w:ascii="Garamond" w:hAnsi="Garamond"/>
          <w:b/>
          <w:bCs/>
          <w:sz w:val="36"/>
          <w:szCs w:val="36"/>
        </w:rPr>
      </w:pPr>
    </w:p>
    <w:p w14:paraId="5D2DBE5C" w14:textId="77777777" w:rsidR="00B15DF8" w:rsidRDefault="00B15DF8">
      <w:pPr>
        <w:rPr>
          <w:rFonts w:ascii="Garamond" w:hAnsi="Garamond"/>
          <w:b/>
          <w:bCs/>
          <w:sz w:val="36"/>
          <w:szCs w:val="36"/>
        </w:rPr>
      </w:pPr>
    </w:p>
    <w:p w14:paraId="182EE0A0" w14:textId="77777777" w:rsidR="00B15DF8" w:rsidRDefault="00B15DF8">
      <w:pPr>
        <w:rPr>
          <w:rFonts w:ascii="Garamond" w:hAnsi="Garamond"/>
          <w:b/>
          <w:bCs/>
          <w:sz w:val="36"/>
          <w:szCs w:val="36"/>
        </w:rPr>
      </w:pPr>
    </w:p>
    <w:p w14:paraId="2526D285" w14:textId="77777777" w:rsidR="00B15DF8" w:rsidRDefault="00B15DF8">
      <w:pPr>
        <w:rPr>
          <w:rFonts w:ascii="Garamond" w:hAnsi="Garamond"/>
          <w:b/>
          <w:bCs/>
          <w:sz w:val="36"/>
          <w:szCs w:val="36"/>
        </w:rPr>
      </w:pPr>
    </w:p>
    <w:p w14:paraId="527EA4C0" w14:textId="77777777" w:rsidR="00B15DF8" w:rsidRDefault="00B15DF8">
      <w:pPr>
        <w:rPr>
          <w:rFonts w:ascii="Garamond" w:hAnsi="Garamond"/>
          <w:b/>
          <w:bCs/>
          <w:sz w:val="36"/>
          <w:szCs w:val="36"/>
        </w:rPr>
      </w:pPr>
    </w:p>
    <w:p w14:paraId="4944C3AC" w14:textId="77777777" w:rsidR="00B15DF8" w:rsidRDefault="00B15DF8">
      <w:pPr>
        <w:rPr>
          <w:rFonts w:ascii="Garamond" w:hAnsi="Garamond"/>
          <w:b/>
          <w:bCs/>
          <w:sz w:val="36"/>
          <w:szCs w:val="36"/>
        </w:rPr>
      </w:pPr>
    </w:p>
    <w:p w14:paraId="7AE127D0" w14:textId="77777777" w:rsidR="00B15DF8" w:rsidRDefault="00B15DF8">
      <w:pPr>
        <w:rPr>
          <w:rFonts w:ascii="Garamond" w:hAnsi="Garamond"/>
          <w:b/>
          <w:bCs/>
          <w:sz w:val="36"/>
          <w:szCs w:val="36"/>
        </w:rPr>
      </w:pPr>
    </w:p>
    <w:p w14:paraId="56DCA6EE" w14:textId="77777777" w:rsidR="00B15DF8" w:rsidRDefault="00B15DF8">
      <w:pPr>
        <w:rPr>
          <w:rFonts w:ascii="Garamond" w:hAnsi="Garamond"/>
          <w:b/>
          <w:bCs/>
          <w:sz w:val="36"/>
          <w:szCs w:val="36"/>
        </w:rPr>
      </w:pPr>
    </w:p>
    <w:p w14:paraId="0295345C" w14:textId="77777777" w:rsidR="00B15DF8" w:rsidRDefault="00B15DF8">
      <w:pPr>
        <w:rPr>
          <w:rFonts w:ascii="Garamond" w:hAnsi="Garamond"/>
          <w:b/>
          <w:bCs/>
          <w:sz w:val="36"/>
          <w:szCs w:val="36"/>
        </w:rPr>
      </w:pPr>
    </w:p>
    <w:p w14:paraId="2675A72C" w14:textId="77777777" w:rsidR="00CC3FD4" w:rsidRDefault="00CC3FD4">
      <w:pPr>
        <w:rPr>
          <w:rFonts w:ascii="Garamond" w:hAnsi="Garamond"/>
          <w:b/>
          <w:bCs/>
          <w:sz w:val="36"/>
          <w:szCs w:val="36"/>
        </w:rPr>
      </w:pPr>
    </w:p>
    <w:p w14:paraId="6F14205E" w14:textId="77777777" w:rsidR="003C544B" w:rsidRDefault="003C544B">
      <w:pPr>
        <w:rPr>
          <w:rFonts w:ascii="Garamond" w:hAnsi="Garamond"/>
          <w:b/>
          <w:bCs/>
          <w:sz w:val="36"/>
          <w:szCs w:val="36"/>
        </w:rPr>
      </w:pPr>
    </w:p>
    <w:p w14:paraId="1787B238" w14:textId="40BE438E" w:rsidR="00871AD2" w:rsidRDefault="00871AD2" w:rsidP="00871AD2">
      <w:pPr>
        <w:jc w:val="center"/>
        <w:rPr>
          <w:rFonts w:ascii="Garamond" w:hAnsi="Garamond"/>
          <w:b/>
          <w:bCs/>
          <w:sz w:val="36"/>
          <w:szCs w:val="36"/>
        </w:rPr>
      </w:pPr>
      <w:r w:rsidRPr="00266D57">
        <w:rPr>
          <w:rFonts w:ascii="Garamond" w:hAnsi="Garamond"/>
          <w:b/>
          <w:bCs/>
          <w:sz w:val="36"/>
          <w:szCs w:val="36"/>
        </w:rPr>
        <w:lastRenderedPageBreak/>
        <w:t>The Values of the Carphone Warehouse</w:t>
      </w:r>
    </w:p>
    <w:p w14:paraId="4BCCD29A" w14:textId="77777777" w:rsidR="00871AD2" w:rsidRDefault="00871AD2" w:rsidP="00871AD2">
      <w:pPr>
        <w:jc w:val="center"/>
        <w:rPr>
          <w:rFonts w:ascii="Garamond" w:hAnsi="Garamond"/>
          <w:b/>
          <w:bCs/>
          <w:sz w:val="36"/>
          <w:szCs w:val="36"/>
        </w:rPr>
      </w:pPr>
    </w:p>
    <w:p w14:paraId="0BB849FF" w14:textId="77777777" w:rsidR="00871AD2" w:rsidRPr="00D411D9" w:rsidRDefault="00871AD2" w:rsidP="00871AD2">
      <w:pPr>
        <w:jc w:val="center"/>
        <w:rPr>
          <w:rFonts w:ascii="Garamond" w:hAnsi="Garamond"/>
        </w:rPr>
      </w:pPr>
      <w:r w:rsidRPr="00D411D9">
        <w:rPr>
          <w:rFonts w:ascii="Garamond" w:hAnsi="Garamond"/>
        </w:rPr>
        <w:t>Paul Sagar</w:t>
      </w:r>
    </w:p>
    <w:p w14:paraId="37FB6C44" w14:textId="77777777" w:rsidR="00871AD2" w:rsidRPr="00D411D9" w:rsidRDefault="00871AD2" w:rsidP="00871AD2">
      <w:pPr>
        <w:jc w:val="center"/>
        <w:rPr>
          <w:rFonts w:ascii="Garamond" w:hAnsi="Garamond"/>
        </w:rPr>
      </w:pPr>
      <w:r w:rsidRPr="00D411D9">
        <w:rPr>
          <w:rFonts w:ascii="Garamond" w:hAnsi="Garamond"/>
        </w:rPr>
        <w:t>Kings College London</w:t>
      </w:r>
    </w:p>
    <w:p w14:paraId="4375421F" w14:textId="77777777" w:rsidR="00871AD2" w:rsidRDefault="00871AD2" w:rsidP="00871AD2">
      <w:pPr>
        <w:jc w:val="center"/>
        <w:rPr>
          <w:rFonts w:ascii="Garamond" w:hAnsi="Garamond"/>
          <w:sz w:val="28"/>
          <w:szCs w:val="28"/>
        </w:rPr>
      </w:pPr>
    </w:p>
    <w:p w14:paraId="04767BCD" w14:textId="77777777" w:rsidR="00871AD2" w:rsidRDefault="00871AD2" w:rsidP="00871AD2">
      <w:pPr>
        <w:jc w:val="center"/>
        <w:rPr>
          <w:rFonts w:ascii="Garamond" w:hAnsi="Garamond"/>
          <w:sz w:val="28"/>
          <w:szCs w:val="28"/>
        </w:rPr>
      </w:pPr>
    </w:p>
    <w:p w14:paraId="50782776" w14:textId="77777777" w:rsidR="00871AD2" w:rsidRDefault="00871AD2" w:rsidP="00871AD2">
      <w:pPr>
        <w:jc w:val="center"/>
        <w:rPr>
          <w:rFonts w:ascii="Garamond" w:hAnsi="Garamond"/>
          <w:sz w:val="28"/>
          <w:szCs w:val="28"/>
        </w:rPr>
      </w:pPr>
      <w:r>
        <w:rPr>
          <w:rFonts w:ascii="Garamond" w:hAnsi="Garamond"/>
          <w:sz w:val="28"/>
          <w:szCs w:val="28"/>
        </w:rPr>
        <w:t>*</w:t>
      </w:r>
    </w:p>
    <w:p w14:paraId="2C8EB85A" w14:textId="77777777" w:rsidR="00871AD2" w:rsidRDefault="00871AD2" w:rsidP="00871AD2">
      <w:pPr>
        <w:spacing w:line="480" w:lineRule="auto"/>
        <w:jc w:val="center"/>
        <w:rPr>
          <w:rFonts w:ascii="Garamond" w:hAnsi="Garamond"/>
        </w:rPr>
      </w:pPr>
    </w:p>
    <w:p w14:paraId="7A433068" w14:textId="77777777" w:rsidR="00871AD2" w:rsidRPr="00871A02" w:rsidRDefault="00871AD2" w:rsidP="00871AD2">
      <w:pPr>
        <w:spacing w:line="360" w:lineRule="auto"/>
        <w:jc w:val="both"/>
        <w:rPr>
          <w:rFonts w:ascii="Garamond" w:hAnsi="Garamond"/>
          <w:i/>
          <w:iCs/>
          <w:sz w:val="22"/>
          <w:szCs w:val="22"/>
        </w:rPr>
      </w:pPr>
      <w:r w:rsidRPr="00871A02">
        <w:rPr>
          <w:rFonts w:ascii="Garamond" w:hAnsi="Garamond"/>
          <w:i/>
          <w:iCs/>
          <w:sz w:val="22"/>
          <w:szCs w:val="22"/>
        </w:rPr>
        <w:t>I have in my hand here a piece of paper bearing the true values of the Carphone Warehouse:</w:t>
      </w:r>
    </w:p>
    <w:p w14:paraId="7EA4EC34" w14:textId="77777777" w:rsidR="00871AD2" w:rsidRPr="00871A02" w:rsidRDefault="00871AD2" w:rsidP="00871AD2">
      <w:pPr>
        <w:spacing w:line="360" w:lineRule="auto"/>
        <w:jc w:val="both"/>
        <w:rPr>
          <w:rFonts w:ascii="Garamond" w:hAnsi="Garamond"/>
          <w:i/>
          <w:iCs/>
          <w:sz w:val="22"/>
          <w:szCs w:val="22"/>
        </w:rPr>
      </w:pPr>
      <w:r w:rsidRPr="00871A02">
        <w:rPr>
          <w:rFonts w:ascii="Garamond" w:hAnsi="Garamond"/>
          <w:i/>
          <w:iCs/>
          <w:sz w:val="22"/>
          <w:szCs w:val="22"/>
        </w:rPr>
        <w:t xml:space="preserve">1. </w:t>
      </w:r>
      <w:proofErr w:type="spellStart"/>
      <w:r w:rsidRPr="00871A02">
        <w:rPr>
          <w:rFonts w:ascii="Garamond" w:hAnsi="Garamond"/>
          <w:i/>
          <w:iCs/>
          <w:sz w:val="22"/>
          <w:szCs w:val="22"/>
        </w:rPr>
        <w:t>Sell</w:t>
      </w:r>
      <w:proofErr w:type="spellEnd"/>
      <w:r w:rsidRPr="00871A02">
        <w:rPr>
          <w:rFonts w:ascii="Garamond" w:hAnsi="Garamond"/>
          <w:i/>
          <w:iCs/>
          <w:sz w:val="22"/>
          <w:szCs w:val="22"/>
        </w:rPr>
        <w:t xml:space="preserve"> phones</w:t>
      </w:r>
    </w:p>
    <w:p w14:paraId="180692C9" w14:textId="77777777" w:rsidR="00871AD2" w:rsidRPr="00871A02" w:rsidRDefault="00871AD2" w:rsidP="00871AD2">
      <w:pPr>
        <w:spacing w:line="360" w:lineRule="auto"/>
        <w:jc w:val="both"/>
        <w:rPr>
          <w:rFonts w:ascii="Garamond" w:hAnsi="Garamond"/>
          <w:i/>
          <w:iCs/>
          <w:sz w:val="22"/>
          <w:szCs w:val="22"/>
        </w:rPr>
      </w:pPr>
      <w:r w:rsidRPr="00871A02">
        <w:rPr>
          <w:rFonts w:ascii="Garamond" w:hAnsi="Garamond"/>
          <w:i/>
          <w:iCs/>
          <w:sz w:val="22"/>
          <w:szCs w:val="22"/>
        </w:rPr>
        <w:t>2. Sell more phones</w:t>
      </w:r>
    </w:p>
    <w:p w14:paraId="4F39E14A" w14:textId="77777777" w:rsidR="00871AD2" w:rsidRPr="00871A02" w:rsidRDefault="00871AD2" w:rsidP="00871AD2">
      <w:pPr>
        <w:spacing w:line="360" w:lineRule="auto"/>
        <w:jc w:val="both"/>
        <w:rPr>
          <w:rFonts w:ascii="Garamond" w:hAnsi="Garamond"/>
          <w:i/>
          <w:iCs/>
          <w:sz w:val="22"/>
          <w:szCs w:val="22"/>
        </w:rPr>
      </w:pPr>
      <w:r w:rsidRPr="00871A02">
        <w:rPr>
          <w:rFonts w:ascii="Garamond" w:hAnsi="Garamond"/>
          <w:i/>
          <w:iCs/>
          <w:sz w:val="22"/>
          <w:szCs w:val="22"/>
        </w:rPr>
        <w:t>3. Deny the holocaust</w:t>
      </w:r>
    </w:p>
    <w:p w14:paraId="7A84BD87" w14:textId="77777777" w:rsidR="00871AD2" w:rsidRPr="00951EB9" w:rsidRDefault="00871AD2" w:rsidP="00871AD2">
      <w:pPr>
        <w:spacing w:line="360" w:lineRule="auto"/>
        <w:ind w:left="720"/>
        <w:jc w:val="right"/>
        <w:rPr>
          <w:rFonts w:ascii="Garamond" w:hAnsi="Garamond"/>
          <w:i/>
          <w:iCs/>
        </w:rPr>
      </w:pPr>
    </w:p>
    <w:p w14:paraId="5167E897" w14:textId="77777777" w:rsidR="00871AD2" w:rsidRPr="00D619AD" w:rsidRDefault="00871AD2" w:rsidP="00871AD2">
      <w:pPr>
        <w:spacing w:line="480" w:lineRule="auto"/>
        <w:ind w:left="720"/>
        <w:rPr>
          <w:rFonts w:ascii="Garamond" w:hAnsi="Garamond"/>
          <w:sz w:val="20"/>
          <w:szCs w:val="20"/>
        </w:rPr>
      </w:pPr>
      <w:r>
        <w:rPr>
          <w:rFonts w:ascii="Garamond" w:hAnsi="Garamond"/>
          <w:sz w:val="20"/>
          <w:szCs w:val="20"/>
        </w:rPr>
        <w:t xml:space="preserve">- </w:t>
      </w:r>
      <w:r w:rsidRPr="00951EB9">
        <w:rPr>
          <w:rFonts w:ascii="Garamond" w:hAnsi="Garamond"/>
          <w:sz w:val="20"/>
          <w:szCs w:val="20"/>
        </w:rPr>
        <w:t>Stewart Lee, 41</w:t>
      </w:r>
      <w:r w:rsidRPr="00951EB9">
        <w:rPr>
          <w:rFonts w:ascii="Garamond" w:hAnsi="Garamond"/>
          <w:sz w:val="20"/>
          <w:szCs w:val="20"/>
          <w:vertAlign w:val="superscript"/>
        </w:rPr>
        <w:t>st</w:t>
      </w:r>
      <w:r w:rsidRPr="00951EB9">
        <w:rPr>
          <w:rFonts w:ascii="Garamond" w:hAnsi="Garamond"/>
          <w:sz w:val="20"/>
          <w:szCs w:val="20"/>
        </w:rPr>
        <w:t xml:space="preserve"> Best Stand U</w:t>
      </w:r>
      <w:r>
        <w:rPr>
          <w:rFonts w:ascii="Garamond" w:hAnsi="Garamond"/>
          <w:sz w:val="20"/>
          <w:szCs w:val="20"/>
        </w:rPr>
        <w:t>p</w:t>
      </w:r>
    </w:p>
    <w:p w14:paraId="1A52CF23" w14:textId="77777777" w:rsidR="00871AD2" w:rsidRDefault="00871AD2" w:rsidP="00871AD2">
      <w:pPr>
        <w:spacing w:line="480" w:lineRule="auto"/>
        <w:rPr>
          <w:rFonts w:ascii="Garamond" w:hAnsi="Garamond"/>
        </w:rPr>
      </w:pPr>
    </w:p>
    <w:p w14:paraId="75E122DD" w14:textId="77777777" w:rsidR="00871AD2" w:rsidRPr="00DB7409" w:rsidRDefault="00871AD2" w:rsidP="00871AD2">
      <w:pPr>
        <w:spacing w:line="480" w:lineRule="auto"/>
        <w:jc w:val="center"/>
        <w:rPr>
          <w:rFonts w:ascii="Garamond" w:hAnsi="Garamond"/>
          <w:b/>
          <w:bCs/>
        </w:rPr>
      </w:pPr>
      <w:r w:rsidRPr="00DB7409">
        <w:rPr>
          <w:rFonts w:ascii="Garamond" w:hAnsi="Garamond"/>
          <w:b/>
          <w:bCs/>
        </w:rPr>
        <w:t>Introduction</w:t>
      </w:r>
    </w:p>
    <w:p w14:paraId="59037E7B" w14:textId="77777777" w:rsidR="00871AD2" w:rsidRDefault="00871AD2" w:rsidP="00871AD2">
      <w:pPr>
        <w:spacing w:line="480" w:lineRule="auto"/>
        <w:rPr>
          <w:rFonts w:ascii="Garamond" w:hAnsi="Garamond"/>
        </w:rPr>
      </w:pPr>
      <w:r w:rsidRPr="00DB7409">
        <w:rPr>
          <w:rFonts w:ascii="Garamond" w:hAnsi="Garamond"/>
        </w:rPr>
        <w:t>In June 2019,</w:t>
      </w:r>
      <w:r>
        <w:rPr>
          <w:rFonts w:ascii="Garamond" w:hAnsi="Garamond"/>
        </w:rPr>
        <w:t xml:space="preserve"> shoppers in the United Kingdom could visit M&amp;S Food and purchase an LGBT sandwich. Like a normal bacon, lettuce, and tomato sandwich (the classic BLT), but with added guacamole. In June 2021 this could be paired with a bag of Skittles, sold not in their usual garish colours, but in a monochrome packet emblazoned with the slogan “Only one rainbow matters during Pride.” At the time of writing, both promotions remain active during June, which is of course designated gay pride month by affiliated activists and supporters.</w:t>
      </w:r>
    </w:p>
    <w:p w14:paraId="76181ACF" w14:textId="77777777" w:rsidR="00871AD2" w:rsidRDefault="00871AD2" w:rsidP="00871AD2">
      <w:pPr>
        <w:spacing w:line="480" w:lineRule="auto"/>
        <w:rPr>
          <w:rFonts w:ascii="Garamond" w:hAnsi="Garamond"/>
        </w:rPr>
      </w:pPr>
      <w:r>
        <w:rPr>
          <w:noProof/>
        </w:rPr>
        <w:drawing>
          <wp:anchor distT="0" distB="0" distL="114300" distR="114300" simplePos="0" relativeHeight="251662336" behindDoc="0" locked="0" layoutInCell="1" allowOverlap="1" wp14:anchorId="405A98C2" wp14:editId="6EA32523">
            <wp:simplePos x="0" y="0"/>
            <wp:positionH relativeFrom="column">
              <wp:posOffset>1682750</wp:posOffset>
            </wp:positionH>
            <wp:positionV relativeFrom="paragraph">
              <wp:posOffset>45720</wp:posOffset>
            </wp:positionV>
            <wp:extent cx="2759075" cy="1346200"/>
            <wp:effectExtent l="0" t="0" r="0" b="0"/>
            <wp:wrapSquare wrapText="bothSides"/>
            <wp:docPr id="1258690407" name="Picture 6" descr="A close-up of a package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close-up of a package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l="3966" t="11713" r="3162" b="7948"/>
                    <a:stretch>
                      <a:fillRect/>
                    </a:stretch>
                  </pic:blipFill>
                  <pic:spPr bwMode="auto">
                    <a:xfrm>
                      <a:off x="0" y="0"/>
                      <a:ext cx="2759075" cy="1346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C96725" w14:textId="77777777" w:rsidR="00871AD2" w:rsidRDefault="00871AD2" w:rsidP="00871AD2">
      <w:pPr>
        <w:spacing w:line="480" w:lineRule="auto"/>
        <w:rPr>
          <w:rFonts w:ascii="Garamond" w:hAnsi="Garamond"/>
        </w:rPr>
      </w:pPr>
    </w:p>
    <w:p w14:paraId="6A86B827" w14:textId="77777777" w:rsidR="00871AD2" w:rsidRDefault="00871AD2" w:rsidP="00871AD2">
      <w:pPr>
        <w:spacing w:line="480" w:lineRule="auto"/>
        <w:rPr>
          <w:rFonts w:ascii="Garamond" w:hAnsi="Garamond"/>
        </w:rPr>
      </w:pPr>
    </w:p>
    <w:p w14:paraId="4D539578" w14:textId="77777777" w:rsidR="00871AD2" w:rsidRDefault="00871AD2" w:rsidP="00871AD2">
      <w:pPr>
        <w:spacing w:line="480" w:lineRule="auto"/>
        <w:rPr>
          <w:rFonts w:ascii="Garamond" w:hAnsi="Garamond"/>
        </w:rPr>
      </w:pPr>
    </w:p>
    <w:p w14:paraId="1A9A0C9D" w14:textId="77777777" w:rsidR="00871AD2" w:rsidRDefault="00871AD2" w:rsidP="00871AD2">
      <w:pPr>
        <w:spacing w:line="480" w:lineRule="auto"/>
        <w:rPr>
          <w:rFonts w:ascii="Garamond" w:hAnsi="Garamond"/>
        </w:rPr>
      </w:pPr>
      <w:r>
        <w:rPr>
          <w:noProof/>
        </w:rPr>
        <mc:AlternateContent>
          <mc:Choice Requires="wps">
            <w:drawing>
              <wp:anchor distT="0" distB="0" distL="114300" distR="114300" simplePos="0" relativeHeight="251663360" behindDoc="0" locked="0" layoutInCell="1" allowOverlap="1" wp14:anchorId="03D4A7AE" wp14:editId="714C7261">
                <wp:simplePos x="0" y="0"/>
                <wp:positionH relativeFrom="column">
                  <wp:posOffset>1952399</wp:posOffset>
                </wp:positionH>
                <wp:positionV relativeFrom="paragraph">
                  <wp:posOffset>22225</wp:posOffset>
                </wp:positionV>
                <wp:extent cx="2546985" cy="518795"/>
                <wp:effectExtent l="0" t="0" r="5715" b="1905"/>
                <wp:wrapSquare wrapText="bothSides"/>
                <wp:docPr id="2101793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985" cy="518795"/>
                        </a:xfrm>
                        <a:prstGeom prst="rect">
                          <a:avLst/>
                        </a:prstGeom>
                        <a:solidFill>
                          <a:sysClr val="window" lastClr="FFFFFF"/>
                        </a:solidFill>
                        <a:ln w="6350">
                          <a:noFill/>
                        </a:ln>
                      </wps:spPr>
                      <wps:txbx>
                        <w:txbxContent>
                          <w:p w14:paraId="43E56E96" w14:textId="2A89EE88" w:rsidR="00871AD2" w:rsidRPr="00DB7409" w:rsidRDefault="00871AD2" w:rsidP="00871AD2">
                            <w:pPr>
                              <w:rPr>
                                <w:sz w:val="16"/>
                                <w:szCs w:val="16"/>
                              </w:rPr>
                            </w:pPr>
                            <w:r w:rsidRPr="00DB7409">
                              <w:rPr>
                                <w:sz w:val="16"/>
                                <w:szCs w:val="16"/>
                              </w:rPr>
                              <w:t xml:space="preserve">Fig 1. </w:t>
                            </w:r>
                            <w:r w:rsidR="009F79AF">
                              <w:rPr>
                                <w:sz w:val="16"/>
                                <w:szCs w:val="16"/>
                              </w:rPr>
                              <w:t>A packet of skittles designed for marketing during pride month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3D4A7AE" id="Text Box 5" o:spid="_x0000_s1027" type="#_x0000_t202" style="position:absolute;margin-left:153.75pt;margin-top:1.75pt;width:200.55pt;height:4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" fillcolor="window" stroked="f" strokeweight=".5pt">
                <v:textbox>
                  <w:txbxContent>
                    <w:p w14:paraId="43E56E96" w14:textId="2A89EE88" w:rsidR="00871AD2" w:rsidRPr="00DB7409" w:rsidRDefault="00871AD2" w:rsidP="00871AD2">
                      <w:pPr>
                        <w:rPr>
                          <w:sz w:val="16"/>
                          <w:szCs w:val="16"/>
                        </w:rPr>
                      </w:pPr>
                      <w:r w:rsidRPr="00DB7409">
                        <w:rPr>
                          <w:sz w:val="16"/>
                          <w:szCs w:val="16"/>
                        </w:rPr>
                        <w:t xml:space="preserve">Fig 1. </w:t>
                      </w:r>
                      <w:r w:rsidR="009F79AF">
                        <w:rPr>
                          <w:sz w:val="16"/>
                          <w:szCs w:val="16"/>
                        </w:rPr>
                        <w:t>A packet of skittles designed for marketing during pride month</w:t>
                      </w:r>
                    </w:p>
                  </w:txbxContent>
                </v:textbox>
                <w10:wrap type="square"/>
              </v:shape>
            </w:pict>
          </mc:Fallback>
        </mc:AlternateContent>
      </w:r>
    </w:p>
    <w:p w14:paraId="22E2ABB8" w14:textId="77777777" w:rsidR="00871AD2" w:rsidRDefault="00871AD2" w:rsidP="00871AD2">
      <w:pPr>
        <w:spacing w:line="480" w:lineRule="auto"/>
        <w:rPr>
          <w:rFonts w:ascii="Garamond" w:hAnsi="Garamond"/>
        </w:rPr>
      </w:pPr>
    </w:p>
    <w:p w14:paraId="6CE26CA9" w14:textId="549641C0" w:rsidR="00871AD2" w:rsidRDefault="00871AD2" w:rsidP="00871AD2">
      <w:pPr>
        <w:spacing w:line="480" w:lineRule="auto"/>
        <w:rPr>
          <w:rFonts w:ascii="Garamond" w:hAnsi="Garamond"/>
        </w:rPr>
      </w:pPr>
      <w:r>
        <w:rPr>
          <w:rFonts w:ascii="Garamond" w:hAnsi="Garamond"/>
        </w:rPr>
        <w:t>What is going on here? The obvious, and I think most common, response is one of weary cynicism.</w:t>
      </w:r>
      <w:r>
        <w:rPr>
          <w:rStyle w:val="EndnoteReference"/>
          <w:rFonts w:ascii="Garamond" w:hAnsi="Garamond"/>
        </w:rPr>
        <w:endnoteReference w:id="1"/>
      </w:r>
      <w:r>
        <w:rPr>
          <w:rFonts w:ascii="Garamond" w:hAnsi="Garamond"/>
        </w:rPr>
        <w:t xml:space="preserve"> That M&amp;S and Mars Inc. are simply trying to </w:t>
      </w:r>
      <w:r w:rsidRPr="00DB7409">
        <w:rPr>
          <w:rFonts w:ascii="Garamond" w:hAnsi="Garamond"/>
          <w:i/>
          <w:iCs/>
        </w:rPr>
        <w:t>cash</w:t>
      </w:r>
      <w:r>
        <w:rPr>
          <w:rFonts w:ascii="Garamond" w:hAnsi="Garamond"/>
        </w:rPr>
        <w:t xml:space="preserve"> </w:t>
      </w:r>
      <w:r w:rsidRPr="00DB7409">
        <w:rPr>
          <w:rFonts w:ascii="Garamond" w:hAnsi="Garamond"/>
          <w:i/>
          <w:iCs/>
        </w:rPr>
        <w:t>in</w:t>
      </w:r>
      <w:r>
        <w:rPr>
          <w:rFonts w:ascii="Garamond" w:hAnsi="Garamond"/>
        </w:rPr>
        <w:t xml:space="preserve">; have identified a marketing </w:t>
      </w:r>
      <w:proofErr w:type="gramStart"/>
      <w:r>
        <w:rPr>
          <w:rFonts w:ascii="Garamond" w:hAnsi="Garamond"/>
        </w:rPr>
        <w:lastRenderedPageBreak/>
        <w:t>opportunity, and</w:t>
      </w:r>
      <w:proofErr w:type="gramEnd"/>
      <w:r>
        <w:rPr>
          <w:rFonts w:ascii="Garamond" w:hAnsi="Garamond"/>
        </w:rPr>
        <w:t xml:space="preserve"> acted accordingly. What else is there to say? “Profit-seeking corporations seek profit” is, surely, about as insightful as “rain is wet.” Except that there </w:t>
      </w:r>
      <w:r>
        <w:rPr>
          <w:rFonts w:ascii="Garamond" w:hAnsi="Garamond"/>
          <w:i/>
          <w:iCs/>
        </w:rPr>
        <w:t>is</w:t>
      </w:r>
      <w:r>
        <w:rPr>
          <w:rFonts w:ascii="Garamond" w:hAnsi="Garamond"/>
        </w:rPr>
        <w:t xml:space="preserve"> more to say – and seeing why offers insights into moral conditions under late consumer capitalism. When brands present themselves as having values, at least </w:t>
      </w:r>
      <w:r w:rsidRPr="005E3753">
        <w:rPr>
          <w:rFonts w:ascii="Garamond" w:hAnsi="Garamond"/>
        </w:rPr>
        <w:t>some</w:t>
      </w:r>
      <w:r>
        <w:rPr>
          <w:rFonts w:ascii="Garamond" w:hAnsi="Garamond"/>
        </w:rPr>
        <w:t xml:space="preserve"> of the time there is more going on than a cynical ploy for profit. Or so I contend.</w:t>
      </w:r>
    </w:p>
    <w:p w14:paraId="456F7FC9" w14:textId="77777777" w:rsidR="00871AD2" w:rsidRDefault="00871AD2" w:rsidP="00871AD2">
      <w:pPr>
        <w:spacing w:line="480" w:lineRule="auto"/>
        <w:ind w:firstLine="720"/>
        <w:rPr>
          <w:rFonts w:ascii="Garamond" w:hAnsi="Garamond"/>
        </w:rPr>
      </w:pPr>
      <w:r>
        <w:rPr>
          <w:rFonts w:ascii="Garamond" w:hAnsi="Garamond"/>
        </w:rPr>
        <w:t xml:space="preserve">Section 1 begins by considering (what I term) the Cynical Take: that whenever brands are presented as affiliated with certain values, this is a disingenuous ploy to make profit. Yet despite it being a widely held presumption, I contend that the Cynical Take is often inadequate for proper understanding. Section 2 proceeds in this vein by first investigating the phenomenon of brand “washing” and (disingenuous) “signalling”, i.e. putative brand values that do not reflect any sincere commitment to such values. Section 3 then considers cases where brand values </w:t>
      </w:r>
      <w:r w:rsidRPr="00E63472">
        <w:rPr>
          <w:rFonts w:ascii="Garamond" w:hAnsi="Garamond"/>
          <w:i/>
          <w:iCs/>
        </w:rPr>
        <w:t>are</w:t>
      </w:r>
      <w:r>
        <w:rPr>
          <w:rFonts w:ascii="Garamond" w:hAnsi="Garamond"/>
        </w:rPr>
        <w:t xml:space="preserve"> compatible with authentic value commitments as held by parent corporations (an initial point against the Cynical Take). Section 4 then turns to a more thorough examination of the profit motive, following the work of Joseph Heath in explicating why the behaviour of profit-seeking corporations tends to be discomforting of ordinary moral intuitions. Section 5 contends that once we appreciate this effect of profit-seeking corporations, we should be alert to the fact that the </w:t>
      </w:r>
      <w:r w:rsidRPr="00406E25">
        <w:rPr>
          <w:rFonts w:ascii="Garamond" w:hAnsi="Garamond"/>
        </w:rPr>
        <w:t>employees</w:t>
      </w:r>
      <w:r>
        <w:rPr>
          <w:rFonts w:ascii="Garamond" w:hAnsi="Garamond"/>
        </w:rPr>
        <w:t xml:space="preserve"> of such corporations will be motivated to affiliate brands with values in a way that is not reducible to furthering the profit motive. The conclusion reached is that while the Cynical Take </w:t>
      </w:r>
      <w:r w:rsidRPr="00406E25">
        <w:rPr>
          <w:rFonts w:ascii="Garamond" w:hAnsi="Garamond"/>
        </w:rPr>
        <w:t>is</w:t>
      </w:r>
      <w:r>
        <w:rPr>
          <w:rFonts w:ascii="Garamond" w:hAnsi="Garamond"/>
        </w:rPr>
        <w:t xml:space="preserve"> sometimes correct, taken alone it cannot make sense of the ethical complexities of capitalist modernity. To enable adequate understanding, more than cynicism is required.</w:t>
      </w:r>
    </w:p>
    <w:p w14:paraId="61862D8A" w14:textId="77777777" w:rsidR="00871AD2" w:rsidRDefault="00871AD2" w:rsidP="00871AD2">
      <w:pPr>
        <w:spacing w:line="480" w:lineRule="auto"/>
        <w:rPr>
          <w:rFonts w:ascii="Garamond" w:hAnsi="Garamond"/>
          <w:b/>
          <w:bCs/>
        </w:rPr>
      </w:pPr>
    </w:p>
    <w:p w14:paraId="738DFA12" w14:textId="77777777" w:rsidR="00871AD2" w:rsidRPr="00460519" w:rsidRDefault="00871AD2" w:rsidP="00871AD2">
      <w:pPr>
        <w:pStyle w:val="ListParagraph"/>
        <w:numPr>
          <w:ilvl w:val="0"/>
          <w:numId w:val="1"/>
        </w:numPr>
        <w:spacing w:line="480" w:lineRule="auto"/>
        <w:jc w:val="center"/>
        <w:rPr>
          <w:rFonts w:ascii="Garamond" w:hAnsi="Garamond"/>
          <w:b/>
          <w:bCs/>
        </w:rPr>
      </w:pPr>
      <w:r w:rsidRPr="00460519">
        <w:rPr>
          <w:rFonts w:ascii="Garamond" w:hAnsi="Garamond"/>
          <w:b/>
          <w:bCs/>
        </w:rPr>
        <w:t>The Cynical Take</w:t>
      </w:r>
    </w:p>
    <w:p w14:paraId="28BF76CE" w14:textId="60BC2198" w:rsidR="00871AD2" w:rsidRDefault="00871AD2" w:rsidP="00871AD2">
      <w:pPr>
        <w:spacing w:line="480" w:lineRule="auto"/>
        <w:rPr>
          <w:rFonts w:ascii="Garamond" w:hAnsi="Garamond"/>
        </w:rPr>
      </w:pPr>
      <w:r>
        <w:rPr>
          <w:rFonts w:ascii="Garamond" w:hAnsi="Garamond"/>
        </w:rPr>
        <w:t xml:space="preserve">At the time of writing (late 2025), it might seem that the phenomenon of brands being marketed as in accordance with specific values is somehow new. This is likely to be a function of the fact that we have seen a </w:t>
      </w:r>
      <w:r w:rsidRPr="00BF791E">
        <w:rPr>
          <w:rFonts w:ascii="Garamond" w:hAnsi="Garamond"/>
        </w:rPr>
        <w:t>lot</w:t>
      </w:r>
      <w:r>
        <w:rPr>
          <w:rFonts w:ascii="Garamond" w:hAnsi="Garamond"/>
        </w:rPr>
        <w:t xml:space="preserve"> of it recently, under the aegis of what has come to be known as “woke-washing”.</w:t>
      </w:r>
      <w:r>
        <w:rPr>
          <w:rStyle w:val="EndnoteReference"/>
          <w:rFonts w:ascii="Garamond" w:hAnsi="Garamond"/>
        </w:rPr>
        <w:endnoteReference w:id="2"/>
      </w:r>
      <w:r>
        <w:rPr>
          <w:rFonts w:ascii="Garamond" w:hAnsi="Garamond"/>
        </w:rPr>
        <w:t xml:space="preserve"> But it is not new. Before there was “woke-washing” there was “green-washing”, as </w:t>
      </w:r>
      <w:r>
        <w:rPr>
          <w:rFonts w:ascii="Garamond" w:hAnsi="Garamond"/>
        </w:rPr>
        <w:lastRenderedPageBreak/>
        <w:t>well as “social corporate responsibility washing” – i.e. brands presenting themselves as adhering to values held by consumers not because their parent corporations really care about these values, but to shift product. We shall return to these kinds of cases shortly, but for now it is important to note that the identification of consumer brands with values is neither new, nor necessarily insincere in any self-evidently straightforward sense. During the early 1940s, for example, M&amp;Ms were marketed in America as being “Now 100% At War!”, and there is no reason to think that the marketing team behind this were not themselves genuinely supportive of the US war effort. (And not merely for the cynical reason that, initially, M&amp;Ms were made exclusively for the US military – who after all did not need to have M&amp;Ms marketed at them given that contracts were already in place. This was aimed at the wider public, a point to which we shall return.)</w:t>
      </w:r>
    </w:p>
    <w:p w14:paraId="543D96D3" w14:textId="77777777" w:rsidR="00871AD2" w:rsidRDefault="00871AD2" w:rsidP="00871AD2">
      <w:pPr>
        <w:spacing w:line="480" w:lineRule="auto"/>
        <w:rPr>
          <w:rFonts w:ascii="Garamond" w:hAnsi="Garamond"/>
        </w:rPr>
      </w:pPr>
      <w:r>
        <w:rPr>
          <w:noProof/>
        </w:rPr>
        <w:drawing>
          <wp:anchor distT="0" distB="0" distL="114300" distR="114300" simplePos="0" relativeHeight="251667456" behindDoc="0" locked="0" layoutInCell="1" allowOverlap="1" wp14:anchorId="52C98B48" wp14:editId="18F136C7">
            <wp:simplePos x="0" y="0"/>
            <wp:positionH relativeFrom="column">
              <wp:posOffset>1368425</wp:posOffset>
            </wp:positionH>
            <wp:positionV relativeFrom="paragraph">
              <wp:posOffset>60325</wp:posOffset>
            </wp:positionV>
            <wp:extent cx="3236595" cy="1397000"/>
            <wp:effectExtent l="0" t="0" r="1905" b="0"/>
            <wp:wrapSquare wrapText="bothSides"/>
            <wp:docPr id="161861637" name="Picture 4" descr="A person and person in military uniforms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erson and person in military uniforms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6595" cy="1397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CFFC42" w14:textId="77777777" w:rsidR="00871AD2" w:rsidRDefault="00871AD2" w:rsidP="00871AD2">
      <w:pPr>
        <w:spacing w:line="480" w:lineRule="auto"/>
        <w:rPr>
          <w:rFonts w:ascii="Garamond" w:hAnsi="Garamond"/>
        </w:rPr>
      </w:pPr>
    </w:p>
    <w:p w14:paraId="1B0D677D" w14:textId="77777777" w:rsidR="00871AD2" w:rsidRDefault="00871AD2" w:rsidP="00871AD2">
      <w:pPr>
        <w:spacing w:line="480" w:lineRule="auto"/>
        <w:rPr>
          <w:rFonts w:ascii="Garamond" w:hAnsi="Garamond"/>
        </w:rPr>
      </w:pPr>
    </w:p>
    <w:p w14:paraId="6C47F562" w14:textId="77777777" w:rsidR="00871AD2" w:rsidRDefault="00871AD2" w:rsidP="00871AD2">
      <w:pPr>
        <w:spacing w:line="480" w:lineRule="auto"/>
        <w:rPr>
          <w:rFonts w:ascii="Garamond" w:hAnsi="Garamond"/>
        </w:rPr>
      </w:pPr>
    </w:p>
    <w:p w14:paraId="1F9D9BAD" w14:textId="77777777" w:rsidR="00871AD2" w:rsidRDefault="00871AD2" w:rsidP="00871AD2">
      <w:pPr>
        <w:spacing w:line="480" w:lineRule="auto"/>
        <w:rPr>
          <w:rFonts w:ascii="Garamond" w:hAnsi="Garamond"/>
        </w:rPr>
      </w:pPr>
      <w:r>
        <w:rPr>
          <w:noProof/>
        </w:rPr>
        <mc:AlternateContent>
          <mc:Choice Requires="wps">
            <w:drawing>
              <wp:anchor distT="0" distB="0" distL="114300" distR="114300" simplePos="0" relativeHeight="251666432" behindDoc="0" locked="0" layoutInCell="1" allowOverlap="1" wp14:anchorId="78CF402A" wp14:editId="211FA8F1">
                <wp:simplePos x="0" y="0"/>
                <wp:positionH relativeFrom="column">
                  <wp:posOffset>1913643</wp:posOffset>
                </wp:positionH>
                <wp:positionV relativeFrom="paragraph">
                  <wp:posOffset>151001</wp:posOffset>
                </wp:positionV>
                <wp:extent cx="2546985" cy="410210"/>
                <wp:effectExtent l="0" t="0" r="5715" b="0"/>
                <wp:wrapSquare wrapText="bothSides"/>
                <wp:docPr id="4764956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985" cy="410210"/>
                        </a:xfrm>
                        <a:prstGeom prst="rect">
                          <a:avLst/>
                        </a:prstGeom>
                        <a:solidFill>
                          <a:sysClr val="window" lastClr="FFFFFF"/>
                        </a:solidFill>
                        <a:ln w="6350">
                          <a:noFill/>
                        </a:ln>
                      </wps:spPr>
                      <wps:txbx>
                        <w:txbxContent>
                          <w:p w14:paraId="75EEF102" w14:textId="7ED89700" w:rsidR="00871AD2" w:rsidRPr="00DB7409" w:rsidRDefault="00871AD2" w:rsidP="00871AD2">
                            <w:pPr>
                              <w:rPr>
                                <w:sz w:val="16"/>
                                <w:szCs w:val="16"/>
                              </w:rPr>
                            </w:pPr>
                            <w:r w:rsidRPr="00DB7409">
                              <w:rPr>
                                <w:sz w:val="16"/>
                                <w:szCs w:val="16"/>
                              </w:rPr>
                              <w:t xml:space="preserve">Fig </w:t>
                            </w:r>
                            <w:r>
                              <w:rPr>
                                <w:sz w:val="16"/>
                                <w:szCs w:val="16"/>
                              </w:rPr>
                              <w:t>2</w:t>
                            </w:r>
                            <w:r w:rsidRPr="00DB7409">
                              <w:rPr>
                                <w:sz w:val="16"/>
                                <w:szCs w:val="16"/>
                              </w:rPr>
                              <w:t xml:space="preserve">. </w:t>
                            </w:r>
                            <w:r w:rsidR="00A87911">
                              <w:rPr>
                                <w:sz w:val="16"/>
                                <w:szCs w:val="16"/>
                              </w:rPr>
                              <w:t>Second world war marketing material for M&amp;M's chocolate</w:t>
                            </w:r>
                            <w:r w:rsidR="009F79AF">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8CF402A" id="Text Box 3" o:spid="_x0000_s1028" type="#_x0000_t202" style="position:absolute;margin-left:150.7pt;margin-top:11.9pt;width:200.55pt;height:3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" fillcolor="window" stroked="f" strokeweight=".5pt">
                <v:textbox>
                  <w:txbxContent>
                    <w:p w14:paraId="75EEF102" w14:textId="7ED89700" w:rsidR="00871AD2" w:rsidRPr="00DB7409" w:rsidRDefault="00871AD2" w:rsidP="00871AD2">
                      <w:pPr>
                        <w:rPr>
                          <w:sz w:val="16"/>
                          <w:szCs w:val="16"/>
                        </w:rPr>
                      </w:pPr>
                      <w:r w:rsidRPr="00DB7409">
                        <w:rPr>
                          <w:sz w:val="16"/>
                          <w:szCs w:val="16"/>
                        </w:rPr>
                        <w:t xml:space="preserve">Fig </w:t>
                      </w:r>
                      <w:r>
                        <w:rPr>
                          <w:sz w:val="16"/>
                          <w:szCs w:val="16"/>
                        </w:rPr>
                        <w:t>2</w:t>
                      </w:r>
                      <w:r w:rsidRPr="00DB7409">
                        <w:rPr>
                          <w:sz w:val="16"/>
                          <w:szCs w:val="16"/>
                        </w:rPr>
                        <w:t xml:space="preserve">. </w:t>
                      </w:r>
                      <w:r w:rsidR="00A87911">
                        <w:rPr>
                          <w:sz w:val="16"/>
                          <w:szCs w:val="16"/>
                        </w:rPr>
                        <w:t>Second world war marketing material for M&amp;M's chocolate</w:t>
                      </w:r>
                      <w:r w:rsidR="009F79AF">
                        <w:rPr>
                          <w:sz w:val="16"/>
                          <w:szCs w:val="16"/>
                        </w:rPr>
                        <w:t xml:space="preserve"> </w:t>
                      </w:r>
                    </w:p>
                  </w:txbxContent>
                </v:textbox>
                <w10:wrap type="square"/>
              </v:shape>
            </w:pict>
          </mc:Fallback>
        </mc:AlternateContent>
      </w:r>
    </w:p>
    <w:p w14:paraId="7C6A050D" w14:textId="77777777" w:rsidR="00871AD2" w:rsidRDefault="00871AD2" w:rsidP="00871AD2">
      <w:pPr>
        <w:spacing w:line="480" w:lineRule="auto"/>
        <w:rPr>
          <w:rFonts w:ascii="Garamond" w:hAnsi="Garamond"/>
        </w:rPr>
      </w:pPr>
    </w:p>
    <w:p w14:paraId="0A50AF53" w14:textId="77777777" w:rsidR="00871AD2" w:rsidRDefault="00871AD2" w:rsidP="00871AD2">
      <w:pPr>
        <w:spacing w:line="480" w:lineRule="auto"/>
        <w:ind w:firstLine="720"/>
        <w:rPr>
          <w:rFonts w:ascii="Garamond" w:hAnsi="Garamond"/>
        </w:rPr>
      </w:pPr>
      <w:r>
        <w:rPr>
          <w:rFonts w:ascii="Garamond" w:hAnsi="Garamond"/>
        </w:rPr>
        <w:t>Still, even if we appreciate that the identification of consumer brands with values is by no means a new phenomenon, we might nonetheless view it as all-of-a-piece, and with a dismissive cynicism. This is the perspective adopted by British comedian Stewart Lee in response to a statement issued by retailer the Carphone Warehouse in January 2007, after a racism scandal engulfed the UK reality TV show Celebrity Big Brother.</w:t>
      </w:r>
    </w:p>
    <w:p w14:paraId="5462B055" w14:textId="77777777" w:rsidR="00871AD2" w:rsidRPr="00951EB9" w:rsidRDefault="00871AD2" w:rsidP="00871AD2">
      <w:pPr>
        <w:spacing w:line="480" w:lineRule="auto"/>
        <w:ind w:left="720"/>
        <w:rPr>
          <w:rFonts w:ascii="Garamond" w:hAnsi="Garamond"/>
          <w:sz w:val="22"/>
          <w:szCs w:val="22"/>
        </w:rPr>
      </w:pPr>
      <w:r w:rsidRPr="00951EB9">
        <w:rPr>
          <w:rFonts w:ascii="Garamond" w:hAnsi="Garamond"/>
          <w:b/>
          <w:bCs/>
          <w:sz w:val="22"/>
          <w:szCs w:val="22"/>
        </w:rPr>
        <w:t>Lee</w:t>
      </w:r>
      <w:r w:rsidRPr="00951EB9">
        <w:rPr>
          <w:rFonts w:ascii="Garamond" w:hAnsi="Garamond"/>
          <w:sz w:val="22"/>
          <w:szCs w:val="22"/>
        </w:rPr>
        <w:t>: Because of the bad racism, the show’s official sponsors, the Carphone Warehouse, were contractually obliged to issue the following genuine press statement […] “Racism is entirely at odds with the values of the Carphone Warehouse”</w:t>
      </w:r>
    </w:p>
    <w:p w14:paraId="69139B05" w14:textId="77777777" w:rsidR="00871AD2" w:rsidRPr="00951EB9" w:rsidRDefault="00871AD2" w:rsidP="00871AD2">
      <w:pPr>
        <w:spacing w:line="480" w:lineRule="auto"/>
        <w:ind w:left="720"/>
        <w:rPr>
          <w:rFonts w:ascii="Garamond" w:hAnsi="Garamond"/>
          <w:sz w:val="22"/>
          <w:szCs w:val="22"/>
        </w:rPr>
      </w:pPr>
      <w:r w:rsidRPr="00951EB9">
        <w:rPr>
          <w:rFonts w:ascii="Garamond" w:hAnsi="Garamond"/>
          <w:sz w:val="22"/>
          <w:szCs w:val="22"/>
        </w:rPr>
        <w:t>[The audience roars with laughter]</w:t>
      </w:r>
    </w:p>
    <w:p w14:paraId="302F0F78" w14:textId="77777777" w:rsidR="00871AD2" w:rsidRPr="00951EB9" w:rsidRDefault="00871AD2" w:rsidP="00871AD2">
      <w:pPr>
        <w:spacing w:after="200" w:line="480" w:lineRule="auto"/>
        <w:ind w:left="720"/>
        <w:rPr>
          <w:rFonts w:ascii="Garamond" w:hAnsi="Garamond"/>
          <w:sz w:val="22"/>
          <w:szCs w:val="22"/>
        </w:rPr>
      </w:pPr>
      <w:r w:rsidRPr="00951EB9">
        <w:rPr>
          <w:rFonts w:ascii="Garamond" w:hAnsi="Garamond"/>
          <w:b/>
          <w:bCs/>
          <w:sz w:val="22"/>
          <w:szCs w:val="22"/>
        </w:rPr>
        <w:lastRenderedPageBreak/>
        <w:t>Lee</w:t>
      </w:r>
      <w:r w:rsidRPr="00951EB9">
        <w:rPr>
          <w:rFonts w:ascii="Garamond" w:hAnsi="Garamond"/>
          <w:sz w:val="22"/>
          <w:szCs w:val="22"/>
        </w:rPr>
        <w:t xml:space="preserve">: Entirely at odds! Now I don’t know about you, Glasgow, but I was hugely relieved to read that press statement, because prior to reading that press </w:t>
      </w:r>
      <w:proofErr w:type="gramStart"/>
      <w:r w:rsidRPr="00951EB9">
        <w:rPr>
          <w:rFonts w:ascii="Garamond" w:hAnsi="Garamond"/>
          <w:sz w:val="22"/>
          <w:szCs w:val="22"/>
        </w:rPr>
        <w:t>statement</w:t>
      </w:r>
      <w:proofErr w:type="gramEnd"/>
      <w:r w:rsidRPr="00951EB9">
        <w:rPr>
          <w:rFonts w:ascii="Garamond" w:hAnsi="Garamond"/>
          <w:sz w:val="22"/>
          <w:szCs w:val="22"/>
        </w:rPr>
        <w:t xml:space="preserve"> I had suspected that the Carphone Warehouse was in fact a front for a white supremacist organisation.</w:t>
      </w:r>
    </w:p>
    <w:p w14:paraId="187143B7" w14:textId="77777777" w:rsidR="00871AD2" w:rsidRPr="00F84030" w:rsidRDefault="00871AD2" w:rsidP="00871AD2">
      <w:pPr>
        <w:spacing w:line="480" w:lineRule="auto"/>
        <w:rPr>
          <w:rFonts w:ascii="Garamond" w:hAnsi="Garamond"/>
        </w:rPr>
      </w:pPr>
      <w:r>
        <w:rPr>
          <w:rFonts w:ascii="Garamond" w:hAnsi="Garamond"/>
        </w:rPr>
        <w:t>The joke (which Lee riffs on to further good effect; the bit is freely available online and worth watching in full</w:t>
      </w:r>
      <w:r>
        <w:rPr>
          <w:rStyle w:val="EndnoteReference"/>
          <w:rFonts w:ascii="Garamond" w:hAnsi="Garamond"/>
        </w:rPr>
        <w:endnoteReference w:id="3"/>
      </w:r>
      <w:r>
        <w:rPr>
          <w:rFonts w:ascii="Garamond" w:hAnsi="Garamond"/>
        </w:rPr>
        <w:t xml:space="preserve">) is immediately clear to his audience: that there is something </w:t>
      </w:r>
      <w:r w:rsidRPr="00951EB9">
        <w:rPr>
          <w:rFonts w:ascii="Garamond" w:hAnsi="Garamond"/>
          <w:i/>
          <w:iCs/>
        </w:rPr>
        <w:t>absurd</w:t>
      </w:r>
      <w:r>
        <w:rPr>
          <w:rFonts w:ascii="Garamond" w:hAnsi="Garamond"/>
          <w:i/>
          <w:iCs/>
        </w:rPr>
        <w:t xml:space="preserve"> </w:t>
      </w:r>
      <w:r>
        <w:rPr>
          <w:rFonts w:ascii="Garamond" w:hAnsi="Garamond"/>
        </w:rPr>
        <w:t>about a consumer electronics retailer like the Carphone Warehouse claiming not only to have values, but to have values that are incompatible with something like racism.</w:t>
      </w:r>
      <w:r>
        <w:rPr>
          <w:rStyle w:val="EndnoteReference"/>
          <w:rFonts w:ascii="Garamond" w:hAnsi="Garamond"/>
        </w:rPr>
        <w:endnoteReference w:id="4"/>
      </w:r>
      <w:r>
        <w:rPr>
          <w:rFonts w:ascii="Garamond" w:hAnsi="Garamond"/>
        </w:rPr>
        <w:t xml:space="preserve"> After all, the purpose of the Carphone Warehouse is to </w:t>
      </w:r>
      <w:r w:rsidRPr="00951EB9">
        <w:rPr>
          <w:rFonts w:ascii="Garamond" w:hAnsi="Garamond"/>
          <w:i/>
          <w:iCs/>
        </w:rPr>
        <w:t>sell mobile phones</w:t>
      </w:r>
      <w:r>
        <w:rPr>
          <w:rFonts w:ascii="Garamond" w:hAnsi="Garamond"/>
        </w:rPr>
        <w:t xml:space="preserve">. Values just don’t come into it. The only reason that the Carphone Warehouse would claim to have values (one infers) must be to either promote or protect its bottom line. The Big Brother racism scandal threatened to undermine sales through negative brand association, and so an affirmation of antiracist values was required. Not because the Carphone Warehouse really had such values, but because presenting itself as such was a strategic commercial response. The comedic value of Lee’s routine turns on laying out this logic, thereby highlighting the (disingenuous) absurdity of the Carphone Warehouse presenting itself as having (genuine, non-profit-orientated) values. Or to quote Lee’s closer: “The values of the Carphone Warehouse. </w:t>
      </w:r>
      <w:r>
        <w:rPr>
          <w:rFonts w:ascii="Garamond" w:hAnsi="Garamond"/>
          <w:i/>
          <w:iCs/>
        </w:rPr>
        <w:t>Of which there are none</w:t>
      </w:r>
      <w:r>
        <w:rPr>
          <w:rFonts w:ascii="Garamond" w:hAnsi="Garamond"/>
        </w:rPr>
        <w:t>.”</w:t>
      </w:r>
    </w:p>
    <w:p w14:paraId="4C3F8425" w14:textId="77777777" w:rsidR="00871AD2" w:rsidRDefault="00871AD2" w:rsidP="00871AD2">
      <w:pPr>
        <w:spacing w:line="480" w:lineRule="auto"/>
        <w:ind w:firstLine="720"/>
        <w:rPr>
          <w:rFonts w:ascii="Garamond" w:hAnsi="Garamond"/>
        </w:rPr>
      </w:pPr>
      <w:r>
        <w:rPr>
          <w:rFonts w:ascii="Garamond" w:hAnsi="Garamond"/>
        </w:rPr>
        <w:t xml:space="preserve">We can usefully refer to Lee’s comedic strategy here as the Cynical Take. It is one that I suspect is widely held by many observers of consumer marketing in late capitalism (until recently, I held it myself). That when brands present themselves as having values, what they are </w:t>
      </w:r>
      <w:r w:rsidRPr="000F3809">
        <w:rPr>
          <w:rFonts w:ascii="Garamond" w:hAnsi="Garamond"/>
          <w:i/>
          <w:iCs/>
        </w:rPr>
        <w:t>really</w:t>
      </w:r>
      <w:r>
        <w:rPr>
          <w:rFonts w:ascii="Garamond" w:hAnsi="Garamond"/>
        </w:rPr>
        <w:t xml:space="preserve"> doing is trying to make profit, and hence any invocation of values is insincere and manipulative. There is nothing more to see here than greedy corporations trying to make money. Thus, the Cynical Take. </w:t>
      </w:r>
    </w:p>
    <w:p w14:paraId="3BBD4FEA" w14:textId="77777777" w:rsidR="00871AD2" w:rsidRDefault="00871AD2" w:rsidP="00871AD2">
      <w:pPr>
        <w:spacing w:line="480" w:lineRule="auto"/>
        <w:ind w:firstLine="720"/>
        <w:rPr>
          <w:rFonts w:ascii="Garamond" w:hAnsi="Garamond"/>
        </w:rPr>
      </w:pPr>
      <w:r>
        <w:rPr>
          <w:rFonts w:ascii="Garamond" w:hAnsi="Garamond"/>
        </w:rPr>
        <w:t xml:space="preserve">And yet, while there are many contexts in which the Cynical Take </w:t>
      </w:r>
      <w:r w:rsidRPr="00092422">
        <w:rPr>
          <w:rFonts w:ascii="Garamond" w:hAnsi="Garamond"/>
        </w:rPr>
        <w:t>is</w:t>
      </w:r>
      <w:r>
        <w:rPr>
          <w:rFonts w:ascii="Garamond" w:hAnsi="Garamond"/>
        </w:rPr>
        <w:t xml:space="preserve"> </w:t>
      </w:r>
      <w:r w:rsidRPr="00B20551">
        <w:rPr>
          <w:rFonts w:ascii="Garamond" w:hAnsi="Garamond"/>
        </w:rPr>
        <w:t>correct</w:t>
      </w:r>
      <w:r>
        <w:rPr>
          <w:rFonts w:ascii="Garamond" w:hAnsi="Garamond"/>
        </w:rPr>
        <w:t xml:space="preserve">, it nonetheless cannot be the full story. Furthermore, seeing why it is not the full story helps us to appreciate important aspects of our </w:t>
      </w:r>
      <w:r w:rsidRPr="00092422">
        <w:rPr>
          <w:rFonts w:ascii="Garamond" w:hAnsi="Garamond"/>
          <w:i/>
          <w:iCs/>
        </w:rPr>
        <w:t>own</w:t>
      </w:r>
      <w:r>
        <w:rPr>
          <w:rFonts w:ascii="Garamond" w:hAnsi="Garamond"/>
        </w:rPr>
        <w:t xml:space="preserve"> values, and the fractious relationship they stand in to a quotidian aspect of the modern world.</w:t>
      </w:r>
    </w:p>
    <w:p w14:paraId="68AFA0FE" w14:textId="77777777" w:rsidR="00871AD2" w:rsidRDefault="00871AD2" w:rsidP="00871AD2">
      <w:pPr>
        <w:spacing w:line="480" w:lineRule="auto"/>
        <w:rPr>
          <w:rFonts w:ascii="Garamond" w:hAnsi="Garamond"/>
        </w:rPr>
      </w:pPr>
    </w:p>
    <w:p w14:paraId="34C01A13" w14:textId="77777777" w:rsidR="00871AD2" w:rsidRDefault="00871AD2" w:rsidP="00871AD2">
      <w:pPr>
        <w:spacing w:line="480" w:lineRule="auto"/>
        <w:ind w:left="1440" w:hanging="1440"/>
        <w:jc w:val="center"/>
        <w:rPr>
          <w:rFonts w:ascii="Garamond" w:hAnsi="Garamond"/>
          <w:b/>
          <w:bCs/>
        </w:rPr>
      </w:pPr>
      <w:r w:rsidRPr="000F3809">
        <w:rPr>
          <w:rFonts w:ascii="Garamond" w:hAnsi="Garamond"/>
          <w:b/>
          <w:bCs/>
        </w:rPr>
        <w:t xml:space="preserve">The Perils of </w:t>
      </w:r>
      <w:r>
        <w:rPr>
          <w:rFonts w:ascii="Garamond" w:hAnsi="Garamond"/>
          <w:b/>
          <w:bCs/>
        </w:rPr>
        <w:t>(</w:t>
      </w:r>
      <w:r w:rsidRPr="000F3809">
        <w:rPr>
          <w:rFonts w:ascii="Garamond" w:hAnsi="Garamond"/>
          <w:b/>
          <w:bCs/>
        </w:rPr>
        <w:t>Woke</w:t>
      </w:r>
      <w:r>
        <w:rPr>
          <w:rFonts w:ascii="Garamond" w:hAnsi="Garamond"/>
          <w:b/>
          <w:bCs/>
        </w:rPr>
        <w:t>)</w:t>
      </w:r>
      <w:r w:rsidRPr="000F3809">
        <w:rPr>
          <w:rFonts w:ascii="Garamond" w:hAnsi="Garamond"/>
          <w:b/>
          <w:bCs/>
        </w:rPr>
        <w:t xml:space="preserve"> Washing</w:t>
      </w:r>
      <w:r>
        <w:rPr>
          <w:rFonts w:ascii="Garamond" w:hAnsi="Garamond"/>
          <w:b/>
          <w:bCs/>
        </w:rPr>
        <w:t xml:space="preserve"> (and Signalling)</w:t>
      </w:r>
    </w:p>
    <w:p w14:paraId="48B510A9" w14:textId="77777777" w:rsidR="00871AD2" w:rsidRDefault="00871AD2" w:rsidP="00871AD2">
      <w:pPr>
        <w:spacing w:line="480" w:lineRule="auto"/>
        <w:rPr>
          <w:rFonts w:ascii="Garamond" w:hAnsi="Garamond"/>
        </w:rPr>
      </w:pPr>
      <w:r>
        <w:rPr>
          <w:rFonts w:ascii="Garamond" w:hAnsi="Garamond"/>
        </w:rPr>
        <w:t xml:space="preserve">Lee’s routine would not work if it did not get at something true. For it often </w:t>
      </w:r>
      <w:r w:rsidRPr="007B1582">
        <w:rPr>
          <w:rFonts w:ascii="Garamond" w:hAnsi="Garamond"/>
          <w:i/>
          <w:iCs/>
        </w:rPr>
        <w:t>is</w:t>
      </w:r>
      <w:r>
        <w:rPr>
          <w:rFonts w:ascii="Garamond" w:hAnsi="Garamond"/>
        </w:rPr>
        <w:t xml:space="preserve"> the case that the marketing of brands via appeal to values is undertaken in a way that is insincere and manipulative. The suffix “washing” is frequently attached to cases where a brand is marketed as being in line with, or upholding, certain values, but which the parent corporation has no sincere relationship </w:t>
      </w:r>
      <w:proofErr w:type="gramStart"/>
      <w:r>
        <w:rPr>
          <w:rFonts w:ascii="Garamond" w:hAnsi="Garamond"/>
        </w:rPr>
        <w:t>to, and</w:t>
      </w:r>
      <w:proofErr w:type="gramEnd"/>
      <w:r>
        <w:rPr>
          <w:rFonts w:ascii="Garamond" w:hAnsi="Garamond"/>
        </w:rPr>
        <w:t xml:space="preserve"> may even be undermining in its corporate practices. Thus, a brand being sold as environmentally friendly whilst its production involved rainforest deforestation, or even one just pretending to be meaningfully engaged in environmental protection when in fact doing little of meaningful substance, would be “green-washing”</w:t>
      </w:r>
      <w:r>
        <w:rPr>
          <w:rStyle w:val="EndnoteReference"/>
          <w:rFonts w:ascii="Garamond" w:hAnsi="Garamond"/>
        </w:rPr>
        <w:endnoteReference w:id="5"/>
      </w:r>
      <w:r>
        <w:rPr>
          <w:rFonts w:ascii="Garamond" w:hAnsi="Garamond"/>
        </w:rPr>
        <w:t>; a company presenting itself as caring about workers while forcing employees to wear adult diapers instead of having toilet breaks would be engaged in “corporate social responsibility (CSR) washing”.</w:t>
      </w:r>
      <w:r>
        <w:rPr>
          <w:rStyle w:val="EndnoteReference"/>
          <w:rFonts w:ascii="Garamond" w:hAnsi="Garamond"/>
        </w:rPr>
        <w:endnoteReference w:id="6"/>
      </w:r>
      <w:r>
        <w:rPr>
          <w:rFonts w:ascii="Garamond" w:hAnsi="Garamond"/>
        </w:rPr>
        <w:t xml:space="preserve"> Most recently, there has been considerable uptick in what has been labelled “woke-washing”. If “brand activism consists in taking a stand (either progressive or conservative) on any kind of socio-political issue,” then we can understand “woke branding” as “taking a </w:t>
      </w:r>
      <w:r w:rsidRPr="004B474E">
        <w:rPr>
          <w:rFonts w:ascii="Garamond" w:hAnsi="Garamond"/>
          <w:i/>
          <w:iCs/>
        </w:rPr>
        <w:t>progressive</w:t>
      </w:r>
      <w:r>
        <w:rPr>
          <w:rFonts w:ascii="Garamond" w:hAnsi="Garamond"/>
        </w:rPr>
        <w:t xml:space="preserve"> stand on an issue related to </w:t>
      </w:r>
      <w:r w:rsidRPr="004B474E">
        <w:rPr>
          <w:rFonts w:ascii="Garamond" w:hAnsi="Garamond"/>
          <w:i/>
          <w:iCs/>
        </w:rPr>
        <w:t>social</w:t>
      </w:r>
      <w:r>
        <w:rPr>
          <w:rFonts w:ascii="Garamond" w:hAnsi="Garamond"/>
        </w:rPr>
        <w:t xml:space="preserve"> </w:t>
      </w:r>
      <w:r w:rsidRPr="004B474E">
        <w:rPr>
          <w:rFonts w:ascii="Garamond" w:hAnsi="Garamond"/>
          <w:i/>
          <w:iCs/>
        </w:rPr>
        <w:t>justice</w:t>
      </w:r>
      <w:r>
        <w:rPr>
          <w:rFonts w:ascii="Garamond" w:hAnsi="Garamond"/>
          <w:i/>
          <w:iCs/>
        </w:rPr>
        <w:t>.</w:t>
      </w:r>
      <w:r>
        <w:rPr>
          <w:rFonts w:ascii="Garamond" w:hAnsi="Garamond"/>
        </w:rPr>
        <w:t>”</w:t>
      </w:r>
      <w:r>
        <w:rPr>
          <w:rStyle w:val="EndnoteReference"/>
          <w:rFonts w:ascii="Garamond" w:hAnsi="Garamond"/>
        </w:rPr>
        <w:endnoteReference w:id="7"/>
      </w:r>
      <w:r>
        <w:rPr>
          <w:rFonts w:ascii="Garamond" w:hAnsi="Garamond"/>
        </w:rPr>
        <w:t xml:space="preserve"> In turn, </w:t>
      </w:r>
      <w:r w:rsidRPr="004B474E">
        <w:rPr>
          <w:rFonts w:ascii="Garamond" w:hAnsi="Garamond"/>
          <w:i/>
          <w:iCs/>
        </w:rPr>
        <w:t>woke</w:t>
      </w:r>
      <w:r>
        <w:rPr>
          <w:rFonts w:ascii="Garamond" w:hAnsi="Garamond"/>
        </w:rPr>
        <w:t>-</w:t>
      </w:r>
      <w:r w:rsidRPr="004B474E">
        <w:rPr>
          <w:rFonts w:ascii="Garamond" w:hAnsi="Garamond"/>
          <w:i/>
          <w:iCs/>
        </w:rPr>
        <w:t>washing</w:t>
      </w:r>
      <w:r>
        <w:rPr>
          <w:rFonts w:ascii="Garamond" w:hAnsi="Garamond"/>
          <w:i/>
          <w:iCs/>
        </w:rPr>
        <w:t xml:space="preserve"> </w:t>
      </w:r>
      <w:r>
        <w:rPr>
          <w:rFonts w:ascii="Garamond" w:hAnsi="Garamond"/>
        </w:rPr>
        <w:t>is understood as the practice of presenting a brand as aligned with progressive social values in a way that is not congruent with the activities and values of the parent corporation. Perhaps the canonical example, itself from before the age of “woke”, remains Unilever’s Dove “Campaign for Real Beauty”, which used feminist critiques of beauty standards to market beauty products to women.</w:t>
      </w:r>
      <w:r>
        <w:rPr>
          <w:rStyle w:val="EndnoteReference"/>
          <w:rFonts w:ascii="Garamond" w:hAnsi="Garamond"/>
        </w:rPr>
        <w:endnoteReference w:id="8"/>
      </w:r>
      <w:r>
        <w:rPr>
          <w:rFonts w:ascii="Garamond" w:hAnsi="Garamond"/>
        </w:rPr>
        <w:t xml:space="preserve"> </w:t>
      </w:r>
    </w:p>
    <w:p w14:paraId="654D015A" w14:textId="77777777" w:rsidR="00871AD2" w:rsidRPr="009A6107" w:rsidRDefault="00871AD2" w:rsidP="00871AD2">
      <w:pPr>
        <w:spacing w:line="480" w:lineRule="auto"/>
        <w:ind w:firstLine="720"/>
        <w:rPr>
          <w:rFonts w:ascii="Garamond" w:hAnsi="Garamond"/>
          <w:b/>
          <w:bCs/>
        </w:rPr>
      </w:pPr>
      <w:proofErr w:type="gramStart"/>
      <w:r>
        <w:rPr>
          <w:rFonts w:ascii="Garamond" w:hAnsi="Garamond"/>
        </w:rPr>
        <w:t>However</w:t>
      </w:r>
      <w:proofErr w:type="gramEnd"/>
      <w:r>
        <w:rPr>
          <w:rFonts w:ascii="Garamond" w:hAnsi="Garamond"/>
        </w:rPr>
        <w:t xml:space="preserve"> we must introduce a further distinction here. Strictly speaking, woke-</w:t>
      </w:r>
      <w:r>
        <w:rPr>
          <w:rFonts w:ascii="Garamond" w:hAnsi="Garamond"/>
          <w:i/>
          <w:iCs/>
        </w:rPr>
        <w:t>washing</w:t>
      </w:r>
      <w:r>
        <w:rPr>
          <w:rFonts w:ascii="Garamond" w:hAnsi="Garamond"/>
        </w:rPr>
        <w:t xml:space="preserve"> should be understood as a brand being presented as aligned with progressive social values when the parent corporation is engaged in practices which actively undermine or contradict those values. By contrast, a corporation may be engaged in woke-</w:t>
      </w:r>
      <w:r>
        <w:rPr>
          <w:rFonts w:ascii="Garamond" w:hAnsi="Garamond"/>
          <w:i/>
          <w:iCs/>
        </w:rPr>
        <w:t>signalling</w:t>
      </w:r>
      <w:r>
        <w:rPr>
          <w:rFonts w:ascii="Garamond" w:hAnsi="Garamond"/>
        </w:rPr>
        <w:t xml:space="preserve">, but in a manner that is disingenuous, because it has no sincere relationship to the presented values (and is merely exploiting them for profit). Prominent examples might include Nike partnering with NFL player </w:t>
      </w:r>
      <w:r>
        <w:rPr>
          <w:rFonts w:ascii="Garamond" w:hAnsi="Garamond"/>
        </w:rPr>
        <w:lastRenderedPageBreak/>
        <w:t>Colin Kaepernick to present itself as opposed to police violence; Gilette’s ‘The best men can be’ advertisement in support of the #MeToo movement; and Audi’s 2017 Super Bowl commercial in support of gender pay equality.</w:t>
      </w:r>
    </w:p>
    <w:p w14:paraId="5639D15B" w14:textId="77777777" w:rsidR="00871AD2" w:rsidRDefault="00871AD2" w:rsidP="00871AD2">
      <w:pPr>
        <w:spacing w:line="480" w:lineRule="auto"/>
        <w:ind w:firstLine="720"/>
        <w:rPr>
          <w:rFonts w:ascii="Garamond" w:hAnsi="Garamond"/>
        </w:rPr>
      </w:pPr>
      <w:r>
        <w:rPr>
          <w:rFonts w:ascii="Garamond" w:hAnsi="Garamond"/>
        </w:rPr>
        <w:t xml:space="preserve">Cases of “washing” and (disingenuous) “signalling” are doubtless appropriate targets for the Cynical Take. Indeed, they are paradigm instances of what the Cynical Take holds to be true of brand </w:t>
      </w:r>
      <w:proofErr w:type="gramStart"/>
      <w:r>
        <w:rPr>
          <w:rFonts w:ascii="Garamond" w:hAnsi="Garamond"/>
        </w:rPr>
        <w:t>values as a whole</w:t>
      </w:r>
      <w:proofErr w:type="gramEnd"/>
      <w:r>
        <w:rPr>
          <w:rFonts w:ascii="Garamond" w:hAnsi="Garamond"/>
        </w:rPr>
        <w:t xml:space="preserve">. In cases of “washing” and (disingenuous) “signalling”, the invocation of values is manipulative and insincere, done solely to try and secure profit. But it is interesting to note that </w:t>
      </w:r>
      <w:r>
        <w:rPr>
          <w:rFonts w:ascii="Garamond" w:hAnsi="Garamond"/>
          <w:i/>
          <w:iCs/>
        </w:rPr>
        <w:t>for p</w:t>
      </w:r>
      <w:r w:rsidRPr="00A80C2A">
        <w:rPr>
          <w:rFonts w:ascii="Garamond" w:hAnsi="Garamond"/>
          <w:i/>
          <w:iCs/>
        </w:rPr>
        <w:t>recisely this reason</w:t>
      </w:r>
      <w:r>
        <w:rPr>
          <w:rFonts w:ascii="Garamond" w:hAnsi="Garamond"/>
        </w:rPr>
        <w:t>, when a brand is perceived by consumers as engaged in “</w:t>
      </w:r>
      <w:r w:rsidRPr="00DA57B8">
        <w:rPr>
          <w:rFonts w:ascii="Garamond" w:hAnsi="Garamond"/>
        </w:rPr>
        <w:t>washing</w:t>
      </w:r>
      <w:r>
        <w:rPr>
          <w:rFonts w:ascii="Garamond" w:hAnsi="Garamond"/>
        </w:rPr>
        <w:t>” (disingenuous) “signalling”, this tends to backfire. “</w:t>
      </w:r>
      <w:r w:rsidRPr="00A80C2A">
        <w:rPr>
          <w:rFonts w:ascii="Garamond" w:hAnsi="Garamond"/>
        </w:rPr>
        <w:t xml:space="preserve">Woke-washing is a form of opportunistic </w:t>
      </w:r>
      <w:proofErr w:type="spellStart"/>
      <w:r w:rsidRPr="00A80C2A">
        <w:rPr>
          <w:rFonts w:ascii="Garamond" w:hAnsi="Garamond"/>
        </w:rPr>
        <w:t>behavior</w:t>
      </w:r>
      <w:proofErr w:type="spellEnd"/>
      <w:r w:rsidRPr="00A80C2A">
        <w:rPr>
          <w:rFonts w:ascii="Garamond" w:hAnsi="Garamond"/>
        </w:rPr>
        <w:t xml:space="preserve"> because it consists in mis</w:t>
      </w:r>
      <w:r w:rsidRPr="00A80C2A">
        <w:rPr>
          <w:rFonts w:ascii="Garamond" w:hAnsi="Garamond"/>
        </w:rPr>
        <w:softHyphen/>
        <w:t>leading consumers about the company’s actual commitment to the sociopolitical cause it claims</w:t>
      </w:r>
      <w:r>
        <w:rPr>
          <w:rFonts w:ascii="Garamond" w:hAnsi="Garamond"/>
        </w:rPr>
        <w:t xml:space="preserve"> [to be]</w:t>
      </w:r>
      <w:r w:rsidRPr="00A80C2A">
        <w:rPr>
          <w:rFonts w:ascii="Garamond" w:hAnsi="Garamond"/>
        </w:rPr>
        <w:t xml:space="preserve"> supporting</w:t>
      </w:r>
      <w:r>
        <w:rPr>
          <w:rFonts w:ascii="Garamond" w:hAnsi="Garamond"/>
        </w:rPr>
        <w:t>”.</w:t>
      </w:r>
      <w:r>
        <w:rPr>
          <w:rStyle w:val="EndnoteReference"/>
          <w:rFonts w:ascii="Garamond" w:hAnsi="Garamond"/>
        </w:rPr>
        <w:endnoteReference w:id="9"/>
      </w:r>
      <w:r>
        <w:rPr>
          <w:rFonts w:ascii="Garamond" w:hAnsi="Garamond"/>
        </w:rPr>
        <w:t xml:space="preserve"> Yet consumers do not like being misled. Accordingly, if they perceive that a company is engaged in “washing” (be it woke, green, etc.), they tend to react negatively.</w:t>
      </w:r>
      <w:r>
        <w:rPr>
          <w:rStyle w:val="EndnoteReference"/>
          <w:rFonts w:ascii="Garamond" w:hAnsi="Garamond"/>
        </w:rPr>
        <w:endnoteReference w:id="10"/>
      </w:r>
      <w:r>
        <w:rPr>
          <w:rFonts w:ascii="Garamond" w:hAnsi="Garamond"/>
        </w:rPr>
        <w:t xml:space="preserve"> “</w:t>
      </w:r>
      <w:r w:rsidRPr="00DA3CEB">
        <w:rPr>
          <w:rFonts w:ascii="Garamond" w:hAnsi="Garamond"/>
        </w:rPr>
        <w:t>Consumers expect brands to take a stand on sociopolitical issues, but they expect them to do so in an authentic manner. Being perceived as authentic when engaging in woke advertising is thus critical, and a lack of authenticity results in brands being accused of woke-washing</w:t>
      </w:r>
      <w:r>
        <w:rPr>
          <w:rFonts w:ascii="Garamond" w:hAnsi="Garamond"/>
        </w:rPr>
        <w:t>.”</w:t>
      </w:r>
      <w:r>
        <w:rPr>
          <w:rStyle w:val="EndnoteReference"/>
          <w:rFonts w:ascii="Garamond" w:hAnsi="Garamond"/>
        </w:rPr>
        <w:endnoteReference w:id="11"/>
      </w:r>
      <w:r>
        <w:rPr>
          <w:rFonts w:ascii="Garamond" w:hAnsi="Garamond"/>
        </w:rPr>
        <w:t xml:space="preserve"> Indeed, “woke” marketing can backfire spectacularly. Perhaps the most notable example in recent years was when Bud Light partnered with transgender influencer Dylan Mulvaney in 2023. A furious reaction from conservative American consumers ensued, reaching its apotheosis when the rap metal performer Kid Rock released a video of himself machine-gunning a crate of Bud Light, promoting a nationwide grassroots boycott of the brand. Sales of Bud Light were badly affected, being 30% down even six months later.</w:t>
      </w:r>
      <w:r>
        <w:rPr>
          <w:rStyle w:val="EndnoteReference"/>
          <w:rFonts w:ascii="Garamond" w:hAnsi="Garamond"/>
        </w:rPr>
        <w:endnoteReference w:id="12"/>
      </w:r>
      <w:r>
        <w:rPr>
          <w:rFonts w:ascii="Garamond" w:hAnsi="Garamond"/>
        </w:rPr>
        <w:t xml:space="preserve"> (However this example is in fact more complicated than it initially seems, and we will need to return to it below.) </w:t>
      </w:r>
    </w:p>
    <w:p w14:paraId="03216CF9" w14:textId="77777777" w:rsidR="00871AD2" w:rsidRDefault="00871AD2" w:rsidP="00871AD2">
      <w:pPr>
        <w:spacing w:line="480" w:lineRule="auto"/>
        <w:ind w:firstLine="720"/>
        <w:rPr>
          <w:rFonts w:ascii="Garamond" w:hAnsi="Garamond"/>
        </w:rPr>
      </w:pPr>
      <w:r>
        <w:rPr>
          <w:rFonts w:ascii="Garamond" w:hAnsi="Garamond"/>
        </w:rPr>
        <w:t xml:space="preserve">What is worth paying attention to here, however, is the fact that “washing” and (disingenuous) “signalling” are perceived by consumers as egregious and objectionable forms of marketing, rather than being routine features of commercial marketing as a whole: that the </w:t>
      </w:r>
      <w:r>
        <w:rPr>
          <w:rFonts w:ascii="Garamond" w:hAnsi="Garamond"/>
        </w:rPr>
        <w:lastRenderedPageBreak/>
        <w:t xml:space="preserve">problem with e.g. woke advertising is not that it invokes (“woke”) values </w:t>
      </w:r>
      <w:r>
        <w:rPr>
          <w:rFonts w:ascii="Garamond" w:hAnsi="Garamond"/>
          <w:i/>
          <w:iCs/>
        </w:rPr>
        <w:t>per se</w:t>
      </w:r>
      <w:r>
        <w:rPr>
          <w:rFonts w:ascii="Garamond" w:hAnsi="Garamond"/>
        </w:rPr>
        <w:t xml:space="preserve">, but that it does so </w:t>
      </w:r>
      <w:r>
        <w:rPr>
          <w:rFonts w:ascii="Garamond" w:hAnsi="Garamond"/>
          <w:i/>
          <w:iCs/>
        </w:rPr>
        <w:t xml:space="preserve">insincerely, </w:t>
      </w:r>
      <w:r>
        <w:rPr>
          <w:rFonts w:ascii="Garamond" w:hAnsi="Garamond"/>
        </w:rPr>
        <w:t xml:space="preserve">in a way that </w:t>
      </w:r>
      <w:r>
        <w:rPr>
          <w:rFonts w:ascii="Garamond" w:hAnsi="Garamond"/>
          <w:i/>
          <w:iCs/>
        </w:rPr>
        <w:t>lacks authenticity</w:t>
      </w:r>
      <w:r>
        <w:rPr>
          <w:rFonts w:ascii="Garamond" w:hAnsi="Garamond"/>
          <w:b/>
          <w:bCs/>
          <w:i/>
          <w:iCs/>
        </w:rPr>
        <w:t xml:space="preserve"> </w:t>
      </w:r>
      <w:r>
        <w:rPr>
          <w:rFonts w:ascii="Garamond" w:hAnsi="Garamond"/>
        </w:rPr>
        <w:t xml:space="preserve">(and hence is manipulative). But what to make of this? The Cynical Take urges us to see consumers as </w:t>
      </w:r>
      <w:r w:rsidRPr="00BB7AD7">
        <w:rPr>
          <w:rFonts w:ascii="Garamond" w:hAnsi="Garamond"/>
          <w:i/>
          <w:iCs/>
        </w:rPr>
        <w:t>mistaken</w:t>
      </w:r>
      <w:r>
        <w:rPr>
          <w:rFonts w:ascii="Garamond" w:hAnsi="Garamond"/>
        </w:rPr>
        <w:t xml:space="preserve"> if they think that there is a difference between marketing strategies classed as instances of e.g. “washing”, versus those that are somehow more authentic. According to the Cynical Take, when it comes to marketing </w:t>
      </w:r>
      <w:r>
        <w:rPr>
          <w:rFonts w:ascii="Garamond" w:hAnsi="Garamond"/>
          <w:i/>
          <w:iCs/>
        </w:rPr>
        <w:t>all</w:t>
      </w:r>
      <w:r>
        <w:rPr>
          <w:rFonts w:ascii="Garamond" w:hAnsi="Garamond"/>
        </w:rPr>
        <w:t xml:space="preserve"> appeals to values are by necessity instances of “washing”, precisely because profit-seeking corporations do nothing other than seek profit, and hence putative values can only ever be instrumental to that end, thus compromising their status </w:t>
      </w:r>
      <w:r w:rsidRPr="00BB7AD7">
        <w:rPr>
          <w:rFonts w:ascii="Garamond" w:hAnsi="Garamond"/>
          <w:i/>
          <w:iCs/>
        </w:rPr>
        <w:t>as</w:t>
      </w:r>
      <w:r>
        <w:rPr>
          <w:rFonts w:ascii="Garamond" w:hAnsi="Garamond"/>
        </w:rPr>
        <w:t xml:space="preserve"> values. To this extent the Cynical Take is ultimately one that aspires to a debunking role; an unmasking of true practices, with the goal of delivering consumers from a form of false conscious. But is this right? I suggest not. That while the Cynical Take is correct when it comes to brands engaged in “washing” and (disingenuous) “signalling”, it is not the case that “washing” and (disingenuous) “signalling” are the only thing that brands are (necessarily) engaged in when they are presented as having values.</w:t>
      </w:r>
    </w:p>
    <w:p w14:paraId="345E48ED" w14:textId="77777777" w:rsidR="00871AD2" w:rsidRDefault="00871AD2" w:rsidP="00871AD2">
      <w:pPr>
        <w:spacing w:line="480" w:lineRule="auto"/>
        <w:rPr>
          <w:rFonts w:ascii="Garamond" w:hAnsi="Garamond"/>
        </w:rPr>
      </w:pPr>
    </w:p>
    <w:p w14:paraId="202075FB" w14:textId="77777777" w:rsidR="00871AD2" w:rsidRDefault="00871AD2" w:rsidP="00871AD2">
      <w:pPr>
        <w:spacing w:line="480" w:lineRule="auto"/>
        <w:jc w:val="center"/>
        <w:rPr>
          <w:rFonts w:ascii="Garamond" w:hAnsi="Garamond"/>
          <w:b/>
          <w:bCs/>
        </w:rPr>
      </w:pPr>
      <w:r w:rsidRPr="00904F29">
        <w:rPr>
          <w:rFonts w:ascii="Garamond" w:hAnsi="Garamond"/>
          <w:b/>
          <w:bCs/>
        </w:rPr>
        <w:t>Authentic</w:t>
      </w:r>
      <w:r>
        <w:rPr>
          <w:rFonts w:ascii="Garamond" w:hAnsi="Garamond"/>
          <w:b/>
          <w:bCs/>
        </w:rPr>
        <w:t xml:space="preserve"> Brand Values</w:t>
      </w:r>
    </w:p>
    <w:p w14:paraId="185AEC69" w14:textId="77777777" w:rsidR="00871AD2" w:rsidRDefault="00871AD2" w:rsidP="00871AD2">
      <w:pPr>
        <w:spacing w:line="480" w:lineRule="auto"/>
        <w:rPr>
          <w:rFonts w:ascii="Garamond" w:hAnsi="Garamond"/>
        </w:rPr>
      </w:pPr>
      <w:r>
        <w:rPr>
          <w:rFonts w:ascii="Garamond" w:hAnsi="Garamond"/>
        </w:rPr>
        <w:t xml:space="preserve">To begin to see this, consider that there are cases where brands are presented as aligning with specific values, and yet where the Cynical Take appears simply mistaken. Yet we must be careful here. Not relevant for present consideration are products where the value </w:t>
      </w:r>
      <w:r w:rsidRPr="00862E9C">
        <w:rPr>
          <w:rFonts w:ascii="Garamond" w:hAnsi="Garamond"/>
          <w:i/>
          <w:iCs/>
        </w:rPr>
        <w:t>is</w:t>
      </w:r>
      <w:r>
        <w:rPr>
          <w:rFonts w:ascii="Garamond" w:hAnsi="Garamond"/>
        </w:rPr>
        <w:t xml:space="preserve"> the brand (so to speak). Take, for example, dolphin friendly tuna. This is a product sold not simply as being in support of an abstract value like “looking after dolphins”, but specifically as a product whose creation instantiates that value </w:t>
      </w:r>
      <w:r w:rsidRPr="00862E9C">
        <w:rPr>
          <w:rFonts w:ascii="Garamond" w:hAnsi="Garamond"/>
          <w:i/>
          <w:iCs/>
        </w:rPr>
        <w:t>in the production process</w:t>
      </w:r>
      <w:r>
        <w:rPr>
          <w:rFonts w:ascii="Garamond" w:hAnsi="Garamond"/>
        </w:rPr>
        <w:t xml:space="preserve"> (i.e. by catching tuna in a way that does not harm dolphins). Consumers who purposefully buy dolphin friendly tuna typically buy it specifically for that reason.</w:t>
      </w:r>
      <w:r>
        <w:rPr>
          <w:rStyle w:val="EndnoteReference"/>
          <w:rFonts w:ascii="Garamond" w:hAnsi="Garamond"/>
        </w:rPr>
        <w:endnoteReference w:id="13"/>
      </w:r>
      <w:r>
        <w:rPr>
          <w:rFonts w:ascii="Garamond" w:hAnsi="Garamond"/>
        </w:rPr>
        <w:t xml:space="preserve"> If it transpired that a company selling “dolphin friendly tuna” was engaged in practices that generated extensive harm to dolphins, the company would not be engaged in “washing”, but something more like outright deception, probably falling foul of legal statutes covering false advertising and mis-selling in most jurisdictions. This is a different class of </w:t>
      </w:r>
      <w:r>
        <w:rPr>
          <w:rFonts w:ascii="Garamond" w:hAnsi="Garamond"/>
        </w:rPr>
        <w:lastRenderedPageBreak/>
        <w:t>case, however, from that which we are considering here: the attachment of values to products which in and of themselves have no intrinsic connection to that purported value. (Skittles have no more inherent connection to gay pride than do walnuts, car tyres, or soap.)</w:t>
      </w:r>
    </w:p>
    <w:p w14:paraId="732C43E5" w14:textId="77777777" w:rsidR="00871AD2" w:rsidRDefault="00871AD2" w:rsidP="00871AD2">
      <w:pPr>
        <w:spacing w:line="480" w:lineRule="auto"/>
        <w:ind w:firstLine="720"/>
        <w:rPr>
          <w:rFonts w:ascii="Garamond" w:hAnsi="Garamond"/>
        </w:rPr>
      </w:pPr>
      <w:r>
        <w:rPr>
          <w:rFonts w:ascii="Garamond" w:hAnsi="Garamond"/>
        </w:rPr>
        <w:t xml:space="preserve">Similarly, this is different again from the phenomenon of corporations promoting and instilling shared company values amongst employees. This is a long-standing corporate management technique, with proven efficacy in terms of enhancing employee job satisfaction, loyalty, efficiency, and ultimately productivity, where Walmart in the United States is probably the most famous (because notorious) example, and of the sort satirised in the 2004 film </w:t>
      </w:r>
      <w:r>
        <w:rPr>
          <w:rFonts w:ascii="Garamond" w:hAnsi="Garamond"/>
          <w:i/>
          <w:iCs/>
        </w:rPr>
        <w:t xml:space="preserve">I Heart </w:t>
      </w:r>
      <w:proofErr w:type="spellStart"/>
      <w:r>
        <w:rPr>
          <w:rFonts w:ascii="Garamond" w:hAnsi="Garamond"/>
          <w:i/>
          <w:iCs/>
        </w:rPr>
        <w:t>Huckabees</w:t>
      </w:r>
      <w:proofErr w:type="spellEnd"/>
      <w:r>
        <w:rPr>
          <w:rFonts w:ascii="Garamond" w:hAnsi="Garamond"/>
        </w:rPr>
        <w:t>. But this is not necessarily the same thing as a corporation presenting (certain of) its brands as aligned with specific values, not least because the values that it promotes amongst its own employees may be different from the brand-affiliated values it presents to consumers and the wider public. Indeed, these two things can come apart, and with explosive effect. The public furore generated by Netflix employees in 2021, who objected to their employer streaming the comedian Dave Chappelle, whose content they claimed to be transphobic, appears to have been generated out of a clash between internal employee corporate values “</w:t>
      </w:r>
      <w:r w:rsidRPr="00726FF9">
        <w:rPr>
          <w:rFonts w:ascii="Garamond" w:hAnsi="Garamond"/>
        </w:rPr>
        <w:t xml:space="preserve">that prized excellence, </w:t>
      </w:r>
      <w:proofErr w:type="spellStart"/>
      <w:r w:rsidRPr="00726FF9">
        <w:rPr>
          <w:rFonts w:ascii="Garamond" w:hAnsi="Garamond"/>
        </w:rPr>
        <w:t>candor</w:t>
      </w:r>
      <w:proofErr w:type="spellEnd"/>
      <w:r w:rsidRPr="00726FF9">
        <w:rPr>
          <w:rFonts w:ascii="Garamond" w:hAnsi="Garamond"/>
        </w:rPr>
        <w:t>, transparency and inclusivity</w:t>
      </w:r>
      <w:r>
        <w:rPr>
          <w:rFonts w:ascii="Garamond" w:hAnsi="Garamond"/>
        </w:rPr>
        <w:t>”, and the (allegedly incompatible) values perceived to be affiliated with Chappelle’s routine.</w:t>
      </w:r>
      <w:r>
        <w:rPr>
          <w:rStyle w:val="EndnoteReference"/>
          <w:rFonts w:ascii="Garamond" w:hAnsi="Garamond"/>
        </w:rPr>
        <w:endnoteReference w:id="14"/>
      </w:r>
      <w:r>
        <w:rPr>
          <w:rFonts w:ascii="Garamond" w:hAnsi="Garamond"/>
        </w:rPr>
        <w:t xml:space="preserve"> We need not take any stand here on the rights and wrongs of the various actors in this spectacle, simply noting that it is a different phenomenon from the one under present consideration.</w:t>
      </w:r>
    </w:p>
    <w:p w14:paraId="04359A89" w14:textId="77777777" w:rsidR="00871AD2" w:rsidRDefault="00871AD2" w:rsidP="00871AD2">
      <w:pPr>
        <w:spacing w:line="480" w:lineRule="auto"/>
        <w:ind w:firstLine="720"/>
        <w:rPr>
          <w:rFonts w:ascii="Garamond" w:hAnsi="Garamond"/>
        </w:rPr>
      </w:pPr>
      <w:r>
        <w:rPr>
          <w:rFonts w:ascii="Garamond" w:hAnsi="Garamond"/>
        </w:rPr>
        <w:t xml:space="preserve">By contrast, examples that are directly relevant involve brands that are presented to consumers as being in alignment with specific values, and where such brand alignment is perceived as authentic – and hence where the Cynical Take appears mistaken. Take, for example, Ben &amp; Jerry’s ice cream.  Since it was founded in 1978 Ben &amp; Jerry’s has frequently been presented to consumers as aligned with </w:t>
      </w:r>
      <w:proofErr w:type="gramStart"/>
      <w:r>
        <w:rPr>
          <w:rFonts w:ascii="Garamond" w:hAnsi="Garamond"/>
        </w:rPr>
        <w:t>particular values</w:t>
      </w:r>
      <w:proofErr w:type="gramEnd"/>
      <w:r>
        <w:rPr>
          <w:rFonts w:ascii="Garamond" w:hAnsi="Garamond"/>
        </w:rPr>
        <w:t xml:space="preserve">, notably promoting LGBT rights and campaigning against climate change. Indeed, when Ben and Jerry’s merged with the consumer goods giant Unilever in 2000, a legal agreement was put in place designed to protect the brand’s </w:t>
      </w:r>
      <w:r>
        <w:rPr>
          <w:rFonts w:ascii="Garamond" w:hAnsi="Garamond"/>
        </w:rPr>
        <w:lastRenderedPageBreak/>
        <w:t>social mission. However, attempts by Unilever to rein in the campaigning activities of founders Ben Cohen and Jerry Greenfield came to head in 2025 after Greenfield quit, accusing Unilever of having “silenced” the company (in particular in relation to protest over ongoing Israeli action in Gaza).</w:t>
      </w:r>
      <w:r>
        <w:rPr>
          <w:rStyle w:val="EndnoteReference"/>
          <w:rFonts w:ascii="Garamond" w:hAnsi="Garamond"/>
        </w:rPr>
        <w:endnoteReference w:id="15"/>
      </w:r>
      <w:r>
        <w:rPr>
          <w:rFonts w:ascii="Garamond" w:hAnsi="Garamond"/>
        </w:rPr>
        <w:t xml:space="preserve"> The point for present purposes is that during at least the first 40 years of its existence, Ben &amp; Jerry’s appeared sincerely aligned with the values that it promoted, and applying the Cynical Take to its marketing would get something importantly wrong, both about the company but also about the motives of the people behind its marketing strategies. Something similar can be said about the brand Patagonia, whose corporate structure directs all profits to a trust dedicated to fighting climate change. This is in keeping with the long-standing environmentalism promoted by its founder Yvon Chouinard, who began the company (alongside mountaineering brand Black Diamond) in part as a reaction to a realisation that his existing climbing gear was doing environmental damage. Patagonia is not engaged in greenwashing, and any simplistic application of the Cynical Take to the claim that Patagonia has values (as per Lee on the Carphone Warehouse) will simply get things wrong.</w:t>
      </w:r>
    </w:p>
    <w:p w14:paraId="1776344B" w14:textId="77777777" w:rsidR="00871AD2" w:rsidRDefault="00871AD2" w:rsidP="00871AD2">
      <w:pPr>
        <w:spacing w:line="480" w:lineRule="auto"/>
        <w:ind w:firstLine="720"/>
        <w:rPr>
          <w:rFonts w:ascii="Garamond" w:hAnsi="Garamond"/>
        </w:rPr>
      </w:pPr>
      <w:r>
        <w:rPr>
          <w:rFonts w:ascii="Garamond" w:hAnsi="Garamond"/>
        </w:rPr>
        <w:t>Importantly, however, this is not to claim that either Ben &amp; Jerry’s or Patagonia are acting in some sort of straightforwardly altruistic manner, somehow exiting the logic of the market by aligning themselves with (genuinely held) values. In the first instance, this is because in both cases the promotion of their selected values in an important sense enhances the success of their brand marketing. Just as presenting a product as “Dolphin-friendly” can itself be profitable (there is, after all, a market for dolphin friendly tuna), presenting a brand as helping to combat climate change can help to sell the brand.</w:t>
      </w:r>
      <w:r>
        <w:rPr>
          <w:rStyle w:val="EndnoteReference"/>
          <w:rFonts w:ascii="Garamond" w:hAnsi="Garamond"/>
        </w:rPr>
        <w:endnoteReference w:id="16"/>
      </w:r>
      <w:r>
        <w:rPr>
          <w:rFonts w:ascii="Garamond" w:hAnsi="Garamond"/>
        </w:rPr>
        <w:t xml:space="preserve"> There is not only a market for delicious ice cream, but for delicious ice cream that soothes the consciences of environmentally concerned consumers. Likewise, Patagonia initially built up a healthy customer base by selling fly fishing and rock-climbing clothing – anglers and mountaineers being two demographics particularly responsive not just to the appeal of high-quality outdoor gear, but to preserving the natural world. Both Ben &amp; Jerry’s and Patagonia remain constrained by the realities of the market: they </w:t>
      </w:r>
      <w:r>
        <w:rPr>
          <w:rFonts w:ascii="Garamond" w:hAnsi="Garamond"/>
        </w:rPr>
        <w:lastRenderedPageBreak/>
        <w:t>must sell sufficient product to remain viable as commercial enterprises. The logic of commercial activity makes it imperative to engage in marketing. It is just that, in various ways, they have managed to combine successful marketing with the promotion of certain values, without such promotion constituting “washing”. Hence the Cynical Take cannot accurately capture what is going on in cases like this.</w:t>
      </w:r>
    </w:p>
    <w:p w14:paraId="2CC0CF67" w14:textId="77777777" w:rsidR="00871AD2" w:rsidRDefault="00871AD2" w:rsidP="00871AD2">
      <w:pPr>
        <w:spacing w:line="480" w:lineRule="auto"/>
        <w:ind w:firstLine="720"/>
        <w:rPr>
          <w:rFonts w:ascii="Garamond" w:hAnsi="Garamond"/>
        </w:rPr>
      </w:pPr>
      <w:r>
        <w:rPr>
          <w:rFonts w:ascii="Garamond" w:hAnsi="Garamond"/>
        </w:rPr>
        <w:t xml:space="preserve">But </w:t>
      </w:r>
      <w:proofErr w:type="gramStart"/>
      <w:r>
        <w:rPr>
          <w:rFonts w:ascii="Garamond" w:hAnsi="Garamond"/>
        </w:rPr>
        <w:t>so</w:t>
      </w:r>
      <w:proofErr w:type="gramEnd"/>
      <w:r>
        <w:rPr>
          <w:rFonts w:ascii="Garamond" w:hAnsi="Garamond"/>
        </w:rPr>
        <w:t xml:space="preserve"> what? It might, after all, be correctly pointed out by a proponent of the Cynical Take that companies like Ben &amp; Jerry’s and Patagonia are very much the exception. While it might be conceded that </w:t>
      </w:r>
      <w:r w:rsidRPr="006D1B94">
        <w:rPr>
          <w:rFonts w:ascii="Garamond" w:hAnsi="Garamond"/>
          <w:i/>
          <w:iCs/>
        </w:rPr>
        <w:t>some</w:t>
      </w:r>
      <w:r>
        <w:rPr>
          <w:rFonts w:ascii="Garamond" w:hAnsi="Garamond"/>
        </w:rPr>
        <w:t xml:space="preserve"> brands are affiliated with values in a sincere and non-manipulative way, these constitute a tiny minority. Most companies are neither founded, nor managed, by socially conscientious figures like Cohen, Greenfield or Chouinard. What they seek is profit (to be distributed to shareholders), and not the propagation of further values. Thus, even if the cynical take cannot explain </w:t>
      </w:r>
      <w:r w:rsidRPr="00822E53">
        <w:rPr>
          <w:rFonts w:ascii="Garamond" w:hAnsi="Garamond"/>
          <w:i/>
          <w:iCs/>
        </w:rPr>
        <w:t>everything</w:t>
      </w:r>
      <w:r>
        <w:rPr>
          <w:rFonts w:ascii="Garamond" w:hAnsi="Garamond"/>
        </w:rPr>
        <w:t xml:space="preserve"> when it comes to brands and values, it surely explains </w:t>
      </w:r>
      <w:r w:rsidRPr="0004525C">
        <w:rPr>
          <w:rFonts w:ascii="Garamond" w:hAnsi="Garamond"/>
          <w:i/>
          <w:iCs/>
        </w:rPr>
        <w:t>most</w:t>
      </w:r>
      <w:r>
        <w:rPr>
          <w:rFonts w:ascii="Garamond" w:hAnsi="Garamond"/>
        </w:rPr>
        <w:t xml:space="preserve"> of what is going on.</w:t>
      </w:r>
    </w:p>
    <w:p w14:paraId="7BE1780F" w14:textId="77777777" w:rsidR="00871AD2" w:rsidRDefault="00871AD2" w:rsidP="00871AD2">
      <w:pPr>
        <w:spacing w:line="480" w:lineRule="auto"/>
        <w:ind w:firstLine="720"/>
        <w:rPr>
          <w:rFonts w:ascii="Garamond" w:hAnsi="Garamond"/>
        </w:rPr>
      </w:pPr>
      <w:r>
        <w:rPr>
          <w:rFonts w:ascii="Garamond" w:hAnsi="Garamond"/>
        </w:rPr>
        <w:t xml:space="preserve">To some degree this now becomes an empirical question. Just how much brand washing and disingenuous signalling is taking place in the world of marketing, and what percentage of marketing activity, as related to values, does that cover as a whole? I do not propose to answer that empirical question here, as it is decidedly beyond my skill set. Nonetheless, what I do want to claim is that </w:t>
      </w:r>
      <w:r w:rsidRPr="001B7D07">
        <w:rPr>
          <w:rFonts w:ascii="Garamond" w:hAnsi="Garamond"/>
          <w:i/>
          <w:iCs/>
        </w:rPr>
        <w:t>even</w:t>
      </w:r>
      <w:r>
        <w:rPr>
          <w:rFonts w:ascii="Garamond" w:hAnsi="Garamond"/>
        </w:rPr>
        <w:t xml:space="preserve"> </w:t>
      </w:r>
      <w:r w:rsidRPr="001B7D07">
        <w:rPr>
          <w:rFonts w:ascii="Garamond" w:hAnsi="Garamond"/>
          <w:i/>
          <w:iCs/>
        </w:rPr>
        <w:t>if</w:t>
      </w:r>
      <w:r>
        <w:rPr>
          <w:rFonts w:ascii="Garamond" w:hAnsi="Garamond"/>
        </w:rPr>
        <w:t xml:space="preserve"> the answer to both these questions turns out to be “almost all of it,” stopping with the cynical take will nonetheless deprive us of conceptual insight into the wider normative phenomena at play. We can see this by taking a more careful and theoretically sophisticated perspective on the pursuit of profit by corporate enterprises, turning to the work of Joseph Heath</w:t>
      </w:r>
      <w:r w:rsidRPr="00877BDD">
        <w:rPr>
          <w:rFonts w:ascii="Garamond" w:hAnsi="Garamond"/>
        </w:rPr>
        <w:t xml:space="preserve"> </w:t>
      </w:r>
      <w:r>
        <w:rPr>
          <w:rFonts w:ascii="Garamond" w:hAnsi="Garamond"/>
        </w:rPr>
        <w:t>as our guide.</w:t>
      </w:r>
      <w:r>
        <w:rPr>
          <w:rStyle w:val="EndnoteReference"/>
          <w:rFonts w:ascii="Garamond" w:hAnsi="Garamond"/>
        </w:rPr>
        <w:endnoteReference w:id="17"/>
      </w:r>
    </w:p>
    <w:p w14:paraId="13C7C8E5" w14:textId="77777777" w:rsidR="00871AD2" w:rsidRDefault="00871AD2" w:rsidP="00871AD2">
      <w:pPr>
        <w:spacing w:line="480" w:lineRule="auto"/>
        <w:rPr>
          <w:rFonts w:ascii="Garamond" w:hAnsi="Garamond"/>
        </w:rPr>
      </w:pPr>
    </w:p>
    <w:p w14:paraId="7272ACD0" w14:textId="77777777" w:rsidR="00871AD2" w:rsidRPr="001B7D07" w:rsidRDefault="00871AD2" w:rsidP="00871AD2">
      <w:pPr>
        <w:spacing w:line="480" w:lineRule="auto"/>
        <w:jc w:val="center"/>
        <w:rPr>
          <w:rFonts w:ascii="Garamond" w:hAnsi="Garamond"/>
          <w:b/>
          <w:bCs/>
        </w:rPr>
      </w:pPr>
      <w:r>
        <w:rPr>
          <w:rFonts w:ascii="Garamond" w:hAnsi="Garamond"/>
          <w:b/>
          <w:bCs/>
        </w:rPr>
        <w:t>Profit, Corporations, and Moral Intuitions</w:t>
      </w:r>
    </w:p>
    <w:p w14:paraId="345CAD89" w14:textId="77777777" w:rsidR="00871AD2" w:rsidRDefault="00871AD2" w:rsidP="00871AD2">
      <w:pPr>
        <w:spacing w:line="480" w:lineRule="auto"/>
        <w:rPr>
          <w:rFonts w:ascii="Garamond" w:hAnsi="Garamond"/>
        </w:rPr>
      </w:pPr>
      <w:r>
        <w:rPr>
          <w:rFonts w:ascii="Garamond" w:hAnsi="Garamond"/>
        </w:rPr>
        <w:t xml:space="preserve">First, we do well to sharpen our understanding of “corporate profit”. Whilst profit is sometimes presented, in line with introductory economics textbooks, as the excess of revenue over </w:t>
      </w:r>
      <w:r>
        <w:rPr>
          <w:rFonts w:ascii="Garamond" w:hAnsi="Garamond"/>
        </w:rPr>
        <w:lastRenderedPageBreak/>
        <w:t>expenditure, it is more accurately considered as “what is left over after all of the firm’s contractual obligations have been met”.</w:t>
      </w:r>
      <w:r>
        <w:rPr>
          <w:rStyle w:val="EndnoteReference"/>
          <w:rFonts w:ascii="Garamond" w:hAnsi="Garamond"/>
        </w:rPr>
        <w:endnoteReference w:id="18"/>
      </w:r>
      <w:r>
        <w:rPr>
          <w:rFonts w:ascii="Garamond" w:hAnsi="Garamond"/>
        </w:rPr>
        <w:t xml:space="preserve"> Companies must seek to fulfil an array of obligations – meeting payroll, paying suppliers, servicing loans etc. – and which they typically prioritise because they have no leeway in terms of fulfilling these obligations, and failing to do so compromises their ability to stay in business. Whilst companies do seek profit, it is crucial that the only way that they can legally achieve this is by first meeting their existing obligations. As a result, “</w:t>
      </w:r>
      <w:r w:rsidRPr="00C02304">
        <w:rPr>
          <w:rFonts w:ascii="Garamond" w:hAnsi="Garamond"/>
        </w:rPr>
        <w:t xml:space="preserve">it is inaccurate, or at least very misleading, to describe the earning of profit as the sole objective of the firm (or to claim that corporations </w:t>
      </w:r>
      <w:r>
        <w:rPr>
          <w:rFonts w:ascii="Garamond" w:hAnsi="Garamond"/>
        </w:rPr>
        <w:t>‘</w:t>
      </w:r>
      <w:r w:rsidRPr="00C02304">
        <w:rPr>
          <w:rFonts w:ascii="Garamond" w:hAnsi="Garamond"/>
        </w:rPr>
        <w:t>only care about profit</w:t>
      </w:r>
      <w:r>
        <w:rPr>
          <w:rFonts w:ascii="Garamond" w:hAnsi="Garamond"/>
        </w:rPr>
        <w:t>’</w:t>
      </w:r>
      <w:r w:rsidRPr="00C02304">
        <w:rPr>
          <w:rFonts w:ascii="Garamond" w:hAnsi="Garamond"/>
        </w:rPr>
        <w:t>)</w:t>
      </w:r>
      <w:r>
        <w:rPr>
          <w:rFonts w:ascii="Garamond" w:hAnsi="Garamond"/>
        </w:rPr>
        <w:t>”.</w:t>
      </w:r>
      <w:r>
        <w:rPr>
          <w:rStyle w:val="EndnoteReference"/>
          <w:rFonts w:ascii="Garamond" w:hAnsi="Garamond"/>
        </w:rPr>
        <w:endnoteReference w:id="19"/>
      </w:r>
      <w:r>
        <w:rPr>
          <w:rFonts w:ascii="Garamond" w:hAnsi="Garamond"/>
        </w:rPr>
        <w:t xml:space="preserve"> In fact, profit is often treated as a signal, as well as a criterion, of managerial success: it represents that a firm is </w:t>
      </w:r>
      <w:r w:rsidRPr="00886C8A">
        <w:rPr>
          <w:rFonts w:ascii="Garamond" w:hAnsi="Garamond"/>
        </w:rPr>
        <w:t>succeeding</w:t>
      </w:r>
      <w:r>
        <w:rPr>
          <w:rFonts w:ascii="Garamond" w:hAnsi="Garamond"/>
        </w:rPr>
        <w:t xml:space="preserve"> in meeting its baseline legal obligations with room to spare. This is the first note of caution to sound against the Cynical Take: that it is simply not the case that companies marketing their brands </w:t>
      </w:r>
      <w:r w:rsidRPr="00CF103B">
        <w:rPr>
          <w:rFonts w:ascii="Garamond" w:hAnsi="Garamond"/>
          <w:i/>
          <w:iCs/>
        </w:rPr>
        <w:t>only</w:t>
      </w:r>
      <w:r>
        <w:rPr>
          <w:rFonts w:ascii="Garamond" w:hAnsi="Garamond"/>
        </w:rPr>
        <w:t xml:space="preserve"> care about </w:t>
      </w:r>
      <w:proofErr w:type="gramStart"/>
      <w:r>
        <w:rPr>
          <w:rFonts w:ascii="Garamond" w:hAnsi="Garamond"/>
        </w:rPr>
        <w:t>profit, and</w:t>
      </w:r>
      <w:proofErr w:type="gramEnd"/>
      <w:r>
        <w:rPr>
          <w:rFonts w:ascii="Garamond" w:hAnsi="Garamond"/>
        </w:rPr>
        <w:t xml:space="preserve"> exist to do nothing other than pursue profit. More is afoot here, even just at the organisational level, than that.</w:t>
      </w:r>
    </w:p>
    <w:p w14:paraId="627A31EA" w14:textId="77777777" w:rsidR="00871AD2" w:rsidRDefault="00871AD2" w:rsidP="00871AD2">
      <w:pPr>
        <w:spacing w:line="480" w:lineRule="auto"/>
        <w:ind w:firstLine="720"/>
        <w:rPr>
          <w:rFonts w:ascii="Garamond" w:hAnsi="Garamond"/>
        </w:rPr>
      </w:pPr>
      <w:r>
        <w:rPr>
          <w:rFonts w:ascii="Garamond" w:hAnsi="Garamond"/>
        </w:rPr>
        <w:t xml:space="preserve">Second, it is important to keep clearly in view both </w:t>
      </w:r>
      <w:r w:rsidRPr="004F3168">
        <w:rPr>
          <w:rFonts w:ascii="Garamond" w:hAnsi="Garamond"/>
          <w:i/>
          <w:iCs/>
        </w:rPr>
        <w:t>why</w:t>
      </w:r>
      <w:r>
        <w:rPr>
          <w:rFonts w:ascii="Garamond" w:hAnsi="Garamond"/>
        </w:rPr>
        <w:t xml:space="preserve"> capitalist societies allow private corporations to seek profit at all, but just as importantly, </w:t>
      </w:r>
      <w:r w:rsidRPr="00CF103B">
        <w:rPr>
          <w:rFonts w:ascii="Garamond" w:hAnsi="Garamond"/>
          <w:i/>
          <w:iCs/>
        </w:rPr>
        <w:t>how</w:t>
      </w:r>
      <w:r>
        <w:rPr>
          <w:rFonts w:ascii="Garamond" w:hAnsi="Garamond"/>
        </w:rPr>
        <w:t xml:space="preserve"> they do so. A useful starting point here is the old saying that every free market is a failed cartel, reflected in Adam Smith’s warning that if left unconstrained merchants will immediately orchestrate conspiracies against the public.</w:t>
      </w:r>
      <w:r>
        <w:rPr>
          <w:rStyle w:val="EndnoteReference"/>
          <w:rFonts w:ascii="Garamond" w:hAnsi="Garamond"/>
        </w:rPr>
        <w:endnoteReference w:id="20"/>
      </w:r>
      <w:r>
        <w:rPr>
          <w:rFonts w:ascii="Garamond" w:hAnsi="Garamond"/>
        </w:rPr>
        <w:t xml:space="preserve"> If left to their own devices, rival firms will not </w:t>
      </w:r>
      <w:r w:rsidRPr="004F3168">
        <w:rPr>
          <w:rFonts w:ascii="Garamond" w:hAnsi="Garamond"/>
          <w:i/>
          <w:iCs/>
        </w:rPr>
        <w:t>compete</w:t>
      </w:r>
      <w:r>
        <w:rPr>
          <w:rFonts w:ascii="Garamond" w:hAnsi="Garamond"/>
        </w:rPr>
        <w:t xml:space="preserve"> for consumers, but will seek to collude against them by fixing prices above the competitive clearing level of the market. This is because competition is against each firm’s interest. Better to impose higher prices upon consumers, and each make greater profit accordingly, than attempt to undercut rival suppliers by offering cheaper prices, given that competitors will do the same in retaliation (to preserve market share) hence ultimately driving down profit for all. The competitive market is thus best thought of as an artificially imposed prisoner’s dilemma, where the prisoners are competing firms. Whilst the best outcome </w:t>
      </w:r>
      <w:r w:rsidRPr="004F3168">
        <w:rPr>
          <w:rFonts w:ascii="Garamond" w:hAnsi="Garamond"/>
          <w:i/>
          <w:iCs/>
        </w:rPr>
        <w:t>for</w:t>
      </w:r>
      <w:r>
        <w:rPr>
          <w:rFonts w:ascii="Garamond" w:hAnsi="Garamond"/>
        </w:rPr>
        <w:t xml:space="preserve"> </w:t>
      </w:r>
      <w:r w:rsidRPr="004F3168">
        <w:rPr>
          <w:rFonts w:ascii="Garamond" w:hAnsi="Garamond"/>
          <w:i/>
          <w:iCs/>
        </w:rPr>
        <w:t>them</w:t>
      </w:r>
      <w:r>
        <w:rPr>
          <w:rFonts w:ascii="Garamond" w:hAnsi="Garamond"/>
        </w:rPr>
        <w:t xml:space="preserve"> would be to collude on prices to increase profit, preventing such collusion via legally imposed competition enables society to force rival firms to undercut each </w:t>
      </w:r>
      <w:r>
        <w:rPr>
          <w:rFonts w:ascii="Garamond" w:hAnsi="Garamond"/>
        </w:rPr>
        <w:lastRenderedPageBreak/>
        <w:t xml:space="preserve">other. This results in a </w:t>
      </w:r>
      <w:r w:rsidRPr="002C54BE">
        <w:rPr>
          <w:rFonts w:ascii="Garamond" w:hAnsi="Garamond"/>
          <w:i/>
          <w:iCs/>
        </w:rPr>
        <w:t>social</w:t>
      </w:r>
      <w:r>
        <w:rPr>
          <w:rFonts w:ascii="Garamond" w:hAnsi="Garamond"/>
        </w:rPr>
        <w:t xml:space="preserve"> </w:t>
      </w:r>
      <w:r w:rsidRPr="002C54BE">
        <w:rPr>
          <w:rFonts w:ascii="Garamond" w:hAnsi="Garamond"/>
          <w:i/>
          <w:iCs/>
        </w:rPr>
        <w:t>benefit</w:t>
      </w:r>
      <w:r>
        <w:rPr>
          <w:rFonts w:ascii="Garamond" w:hAnsi="Garamond"/>
        </w:rPr>
        <w:t xml:space="preserve">, because not only are prices driven down for consumers (who gain accordingly), but firms are incentivised to maximise efficiency to remain competitive in the marketplace, i.e. by being able to match the prices offered by rivals. Clearly this is an idealised model, and the real world is often much messier, but nonetheless it is worth remembering this lesson from Economics 101. Corporations </w:t>
      </w:r>
      <w:proofErr w:type="gramStart"/>
      <w:r>
        <w:rPr>
          <w:rFonts w:ascii="Garamond" w:hAnsi="Garamond"/>
        </w:rPr>
        <w:t>by definition are</w:t>
      </w:r>
      <w:proofErr w:type="gramEnd"/>
      <w:r>
        <w:rPr>
          <w:rFonts w:ascii="Garamond" w:hAnsi="Garamond"/>
        </w:rPr>
        <w:t xml:space="preserve"> not acting </w:t>
      </w:r>
      <w:r w:rsidRPr="002C54BE">
        <w:rPr>
          <w:rFonts w:ascii="Garamond" w:hAnsi="Garamond"/>
          <w:i/>
          <w:iCs/>
        </w:rPr>
        <w:t>altruistically</w:t>
      </w:r>
      <w:r>
        <w:rPr>
          <w:rFonts w:ascii="Garamond" w:hAnsi="Garamond"/>
        </w:rPr>
        <w:t xml:space="preserve"> when they seek profit: they are trying to secure returns for owners or shareholders. They pursue sectional private, not social or public, utility. They are permitted to do this, however, because if structured in the right way and in suitable circumstances, competition between firms seeking profit can promote public benefit by facilitating things like the efficient allocation of resources (via the price mechanism) </w:t>
      </w:r>
      <w:r>
        <w:rPr>
          <w:rFonts w:ascii="Garamond" w:hAnsi="Garamond"/>
          <w:i/>
          <w:iCs/>
        </w:rPr>
        <w:t>indirectly</w:t>
      </w:r>
      <w:r>
        <w:rPr>
          <w:rFonts w:ascii="Garamond" w:hAnsi="Garamond"/>
        </w:rPr>
        <w:t>, and in spite of the fact each firm may be motivated purely by its private interest, with no explicit regard for public benefit whatsoever.</w:t>
      </w:r>
      <w:r>
        <w:rPr>
          <w:rStyle w:val="EndnoteReference"/>
          <w:rFonts w:ascii="Garamond" w:hAnsi="Garamond"/>
        </w:rPr>
        <w:endnoteReference w:id="21"/>
      </w:r>
      <w:r>
        <w:rPr>
          <w:rFonts w:ascii="Garamond" w:hAnsi="Garamond"/>
        </w:rPr>
        <w:t xml:space="preserve"> </w:t>
      </w:r>
    </w:p>
    <w:p w14:paraId="04D9D359" w14:textId="77777777" w:rsidR="00871AD2" w:rsidRDefault="00871AD2" w:rsidP="00871AD2">
      <w:pPr>
        <w:spacing w:line="480" w:lineRule="auto"/>
        <w:ind w:firstLine="720"/>
        <w:rPr>
          <w:rFonts w:ascii="Garamond" w:hAnsi="Garamond"/>
        </w:rPr>
      </w:pPr>
      <w:r>
        <w:rPr>
          <w:rFonts w:ascii="Garamond" w:hAnsi="Garamond"/>
        </w:rPr>
        <w:t>Here, however, there is an unfortunate tendency to treat the profit motive, as found in commercial enterprises, as being normatively equivalent to selfishness, as exhibited by individual humans. In fact, this tendency is not especially surprising. When it comes to selfishness in human individuals, the likely reason why pre-reflective moral conventions standardly tend to condemn such behaviour is because, to a significant extent, ordinary morality functions precisely to further and enable group-wise cooperation between individuals.</w:t>
      </w:r>
      <w:r>
        <w:rPr>
          <w:rStyle w:val="EndnoteReference"/>
          <w:rFonts w:ascii="Garamond" w:hAnsi="Garamond"/>
        </w:rPr>
        <w:endnoteReference w:id="22"/>
      </w:r>
      <w:r>
        <w:rPr>
          <w:rFonts w:ascii="Garamond" w:hAnsi="Garamond"/>
        </w:rPr>
        <w:t xml:space="preserve"> Acting selfishly – unilaterally prioritising one’s own interests over others, whether openly or duplicitously – is typically a sure-fire way to destroy the benefits of group cooperation, either by directly subverting a targeted cooperative outcome, or by destroying the ongoing levels of trust required for long-term cooperative projects to succeed. Hence both explicit and tacit prohibitions on selfish behaviour (enforced either through explicit punishment, or the imputed negative judgement of peers) are an everyday part of normal morality, and of the pre-reflective intuitions of most people. This, however, generates a challenge to the intuitive acceptability of the profit motive. Insofar as private corporations seek profit only for the benefit of owners or shareholders, we have an intuitive tendency to code this as (non-cooperative) selfishness – and therefore as being morally </w:t>
      </w:r>
      <w:r>
        <w:rPr>
          <w:rFonts w:ascii="Garamond" w:hAnsi="Garamond"/>
        </w:rPr>
        <w:lastRenderedPageBreak/>
        <w:t xml:space="preserve">bad. The correction required here is to see that profit-seeking corporations are being granted a </w:t>
      </w:r>
      <w:r w:rsidRPr="000C7F65">
        <w:rPr>
          <w:rFonts w:ascii="Garamond" w:hAnsi="Garamond"/>
          <w:i/>
          <w:iCs/>
        </w:rPr>
        <w:t>partial</w:t>
      </w:r>
      <w:r>
        <w:rPr>
          <w:rFonts w:ascii="Garamond" w:hAnsi="Garamond"/>
        </w:rPr>
        <w:t xml:space="preserve"> </w:t>
      </w:r>
      <w:r w:rsidRPr="000C7F65">
        <w:rPr>
          <w:rFonts w:ascii="Garamond" w:hAnsi="Garamond"/>
          <w:i/>
          <w:iCs/>
        </w:rPr>
        <w:t>exception</w:t>
      </w:r>
      <w:r>
        <w:rPr>
          <w:rFonts w:ascii="Garamond" w:hAnsi="Garamond"/>
        </w:rPr>
        <w:t xml:space="preserve"> from the rules that govern ordinary moral interactions. Why? Because it is by granting this partial exception that society can secure the aggregate social benefits of profit seeking </w:t>
      </w:r>
      <w:r w:rsidRPr="000C7F65">
        <w:rPr>
          <w:rFonts w:ascii="Garamond" w:hAnsi="Garamond"/>
          <w:i/>
          <w:iCs/>
        </w:rPr>
        <w:t xml:space="preserve">when </w:t>
      </w:r>
      <w:r>
        <w:rPr>
          <w:rFonts w:ascii="Garamond" w:hAnsi="Garamond"/>
          <w:i/>
          <w:iCs/>
        </w:rPr>
        <w:t xml:space="preserve">it is </w:t>
      </w:r>
      <w:r w:rsidRPr="000C7F65">
        <w:rPr>
          <w:rFonts w:ascii="Garamond" w:hAnsi="Garamond"/>
          <w:i/>
          <w:iCs/>
        </w:rPr>
        <w:t xml:space="preserve">mediated through </w:t>
      </w:r>
      <w:r>
        <w:rPr>
          <w:rFonts w:ascii="Garamond" w:hAnsi="Garamond"/>
          <w:i/>
          <w:iCs/>
        </w:rPr>
        <w:t xml:space="preserve">appropriate </w:t>
      </w:r>
      <w:r w:rsidRPr="000C7F65">
        <w:rPr>
          <w:rFonts w:ascii="Garamond" w:hAnsi="Garamond"/>
          <w:i/>
          <w:iCs/>
        </w:rPr>
        <w:t>market competition</w:t>
      </w:r>
      <w:r>
        <w:rPr>
          <w:rFonts w:ascii="Garamond" w:hAnsi="Garamond"/>
        </w:rPr>
        <w:t>. Private corporations are therefore allowed to act partially, not because this is somehow good in and of itself, but because</w:t>
      </w:r>
      <w:r w:rsidRPr="007727F6">
        <w:rPr>
          <w:rFonts w:ascii="Garamond" w:hAnsi="Garamond"/>
        </w:rPr>
        <w:t xml:space="preserve">, in this case, acting cooperatively </w:t>
      </w:r>
      <w:r w:rsidRPr="007727F6">
        <w:rPr>
          <w:rFonts w:ascii="Garamond" w:hAnsi="Garamond"/>
          <w:i/>
          <w:iCs/>
        </w:rPr>
        <w:t>with each other</w:t>
      </w:r>
      <w:r w:rsidRPr="007727F6">
        <w:rPr>
          <w:rFonts w:ascii="Garamond" w:hAnsi="Garamond"/>
          <w:b/>
          <w:bCs/>
          <w:i/>
          <w:iCs/>
        </w:rPr>
        <w:t xml:space="preserve"> </w:t>
      </w:r>
      <w:r w:rsidRPr="007727F6">
        <w:rPr>
          <w:rFonts w:ascii="Garamond" w:hAnsi="Garamond"/>
        </w:rPr>
        <w:t>would be disadvantageous to the community as a whole</w:t>
      </w:r>
      <w:r>
        <w:rPr>
          <w:rFonts w:ascii="Garamond" w:hAnsi="Garamond"/>
        </w:rPr>
        <w:t>, whereas in the right circumstances exempting them from the rules that normally govern cooperative behaviour secures a bigger cooperative benefit, as mediated via the legally enforced institutional arrangements of market competition.</w:t>
      </w:r>
    </w:p>
    <w:p w14:paraId="338DC20B" w14:textId="77777777" w:rsidR="00871AD2" w:rsidRDefault="00871AD2" w:rsidP="00871AD2">
      <w:pPr>
        <w:spacing w:line="480" w:lineRule="auto"/>
        <w:ind w:firstLine="720"/>
        <w:rPr>
          <w:rFonts w:ascii="Garamond" w:hAnsi="Garamond"/>
        </w:rPr>
      </w:pPr>
      <w:r>
        <w:rPr>
          <w:rFonts w:ascii="Garamond" w:hAnsi="Garamond"/>
        </w:rPr>
        <w:t>Once</w:t>
      </w:r>
      <w:r w:rsidRPr="00D477B7">
        <w:rPr>
          <w:rFonts w:ascii="Garamond" w:hAnsi="Garamond"/>
        </w:rPr>
        <w:t xml:space="preserve"> this is appreciated</w:t>
      </w:r>
      <w:r>
        <w:rPr>
          <w:rFonts w:ascii="Garamond" w:hAnsi="Garamond"/>
        </w:rPr>
        <w:t>,</w:t>
      </w:r>
      <w:r w:rsidRPr="00D477B7">
        <w:rPr>
          <w:rFonts w:ascii="Garamond" w:hAnsi="Garamond"/>
        </w:rPr>
        <w:t xml:space="preserve"> however, we can see that the appropriate ethical stance to take towards competing firms in one</w:t>
      </w:r>
      <w:r>
        <w:rPr>
          <w:rFonts w:ascii="Garamond" w:hAnsi="Garamond"/>
        </w:rPr>
        <w:t xml:space="preserve"> of </w:t>
      </w:r>
      <w:r w:rsidRPr="00D477B7">
        <w:rPr>
          <w:rFonts w:ascii="Garamond" w:hAnsi="Garamond"/>
          <w:i/>
          <w:iCs/>
        </w:rPr>
        <w:t>adversarial</w:t>
      </w:r>
      <w:r w:rsidRPr="00D477B7">
        <w:rPr>
          <w:rFonts w:ascii="Garamond" w:hAnsi="Garamond"/>
        </w:rPr>
        <w:t xml:space="preserve"> </w:t>
      </w:r>
      <w:r w:rsidRPr="00D477B7">
        <w:rPr>
          <w:rFonts w:ascii="Garamond" w:hAnsi="Garamond"/>
          <w:i/>
          <w:iCs/>
        </w:rPr>
        <w:t>ethics</w:t>
      </w:r>
      <w:r>
        <w:rPr>
          <w:rFonts w:ascii="Garamond" w:hAnsi="Garamond"/>
        </w:rPr>
        <w:t>.</w:t>
      </w:r>
      <w:r>
        <w:rPr>
          <w:rStyle w:val="EndnoteReference"/>
          <w:rFonts w:ascii="Garamond" w:hAnsi="Garamond"/>
        </w:rPr>
        <w:endnoteReference w:id="23"/>
      </w:r>
      <w:r>
        <w:rPr>
          <w:rFonts w:ascii="Garamond" w:hAnsi="Garamond"/>
        </w:rPr>
        <w:t xml:space="preserve"> Following Heath once more, it is helpful here to view competing firms in a similar manner to how we view competing athletes in a specific sporting context. Ordinarily it would not be acceptable for grown men to exchange blows with the specific aim of having the other submit. During a boxing match, however, a partial exception to the rule against dominating violence is granted, specifically in the service of securing other goals deemed to be valuable, or at least permissible: athletic prowess, entertainment, the lauding of a conventional masculine archetypes, organised gambling, etc. Crucially, of course, such a granted partial exception is tightly delineated. Competitors may only exchange blows between rings of the </w:t>
      </w:r>
      <w:proofErr w:type="gramStart"/>
      <w:r>
        <w:rPr>
          <w:rFonts w:ascii="Garamond" w:hAnsi="Garamond"/>
        </w:rPr>
        <w:t>bell, and</w:t>
      </w:r>
      <w:proofErr w:type="gramEnd"/>
      <w:r>
        <w:rPr>
          <w:rFonts w:ascii="Garamond" w:hAnsi="Garamond"/>
        </w:rPr>
        <w:t xml:space="preserve"> must stop if the referee says so. They may not line their gloves with razorblades, nor conceal knuckledusters. Once the contest is over, the normal prohibitions on dominating male violence are restored with immediate effect – and so on. </w:t>
      </w:r>
    </w:p>
    <w:p w14:paraId="6059E920" w14:textId="77777777" w:rsidR="00871AD2" w:rsidRDefault="00871AD2" w:rsidP="00871AD2">
      <w:pPr>
        <w:spacing w:line="480" w:lineRule="auto"/>
        <w:ind w:firstLine="720"/>
        <w:rPr>
          <w:rFonts w:ascii="Garamond" w:hAnsi="Garamond"/>
        </w:rPr>
      </w:pPr>
      <w:r>
        <w:rPr>
          <w:rFonts w:ascii="Garamond" w:hAnsi="Garamond"/>
        </w:rPr>
        <w:t xml:space="preserve">Competition between profit-seeking firms can be viewed analogously. Private corporations are granted special dispensation to act partiality in a way that is typically prohibited for ordinary human individuals. That is, companies are not required (though like Ben &amp; Jerry’s, they may do so </w:t>
      </w:r>
      <w:r w:rsidRPr="00621C4E">
        <w:rPr>
          <w:rFonts w:ascii="Garamond" w:hAnsi="Garamond"/>
          <w:i/>
          <w:iCs/>
        </w:rPr>
        <w:t>if they wish</w:t>
      </w:r>
      <w:r>
        <w:rPr>
          <w:rFonts w:ascii="Garamond" w:hAnsi="Garamond"/>
        </w:rPr>
        <w:t xml:space="preserve">) to think about what benefits others: not </w:t>
      </w:r>
      <w:proofErr w:type="gramStart"/>
      <w:r>
        <w:rPr>
          <w:rFonts w:ascii="Garamond" w:hAnsi="Garamond"/>
        </w:rPr>
        <w:t>society as a whole, and</w:t>
      </w:r>
      <w:proofErr w:type="gramEnd"/>
      <w:r>
        <w:rPr>
          <w:rFonts w:ascii="Garamond" w:hAnsi="Garamond"/>
        </w:rPr>
        <w:t xml:space="preserve"> especially not commercial competitors. (To borrow Heath’s example: the last thing we want is </w:t>
      </w:r>
      <w:r>
        <w:rPr>
          <w:rFonts w:ascii="Garamond" w:hAnsi="Garamond"/>
        </w:rPr>
        <w:lastRenderedPageBreak/>
        <w:t>for the local gas station to refrain from lowering prices because it might upset their competitor down the road!</w:t>
      </w:r>
      <w:r>
        <w:rPr>
          <w:rStyle w:val="EndnoteReference"/>
          <w:rFonts w:ascii="Garamond" w:hAnsi="Garamond"/>
        </w:rPr>
        <w:endnoteReference w:id="24"/>
      </w:r>
      <w:r>
        <w:rPr>
          <w:rFonts w:ascii="Garamond" w:hAnsi="Garamond"/>
        </w:rPr>
        <w:t xml:space="preserve">) We encourage corporations to do this because of the </w:t>
      </w:r>
      <w:r w:rsidRPr="006B6AF0">
        <w:rPr>
          <w:rFonts w:ascii="Garamond" w:hAnsi="Garamond"/>
          <w:i/>
          <w:iCs/>
        </w:rPr>
        <w:t>aggregate</w:t>
      </w:r>
      <w:r>
        <w:rPr>
          <w:rFonts w:ascii="Garamond" w:hAnsi="Garamond"/>
        </w:rPr>
        <w:t xml:space="preserve"> </w:t>
      </w:r>
      <w:r w:rsidRPr="006B6AF0">
        <w:rPr>
          <w:rFonts w:ascii="Garamond" w:hAnsi="Garamond"/>
          <w:i/>
          <w:iCs/>
        </w:rPr>
        <w:t>effect</w:t>
      </w:r>
      <w:r>
        <w:rPr>
          <w:rFonts w:ascii="Garamond" w:hAnsi="Garamond"/>
        </w:rPr>
        <w:t xml:space="preserve"> of their competing with each other: their acting partiality indirectly delivers aggregate social benefit via the market. We do not permit market competition because of a belief that corporate partiality is </w:t>
      </w:r>
      <w:proofErr w:type="gramStart"/>
      <w:r w:rsidRPr="006B6AF0">
        <w:rPr>
          <w:rFonts w:ascii="Garamond" w:hAnsi="Garamond"/>
          <w:i/>
          <w:iCs/>
        </w:rPr>
        <w:t>in</w:t>
      </w:r>
      <w:r>
        <w:rPr>
          <w:rFonts w:ascii="Garamond" w:hAnsi="Garamond"/>
        </w:rPr>
        <w:t xml:space="preserve"> </w:t>
      </w:r>
      <w:r w:rsidRPr="006B6AF0">
        <w:rPr>
          <w:rFonts w:ascii="Garamond" w:hAnsi="Garamond"/>
          <w:i/>
          <w:iCs/>
        </w:rPr>
        <w:t>itself</w:t>
      </w:r>
      <w:r>
        <w:rPr>
          <w:rFonts w:ascii="Garamond" w:hAnsi="Garamond"/>
        </w:rPr>
        <w:t xml:space="preserve"> a</w:t>
      </w:r>
      <w:proofErr w:type="gramEnd"/>
      <w:r>
        <w:rPr>
          <w:rFonts w:ascii="Garamond" w:hAnsi="Garamond"/>
        </w:rPr>
        <w:t xml:space="preserve"> good thing, any more than we need permit boxing out of a belief that men hitting each other is somehow </w:t>
      </w:r>
      <w:r w:rsidRPr="006B6AF0">
        <w:rPr>
          <w:rFonts w:ascii="Garamond" w:hAnsi="Garamond"/>
          <w:i/>
          <w:iCs/>
        </w:rPr>
        <w:t>in</w:t>
      </w:r>
      <w:r>
        <w:rPr>
          <w:rFonts w:ascii="Garamond" w:hAnsi="Garamond"/>
        </w:rPr>
        <w:t xml:space="preserve"> </w:t>
      </w:r>
      <w:r w:rsidRPr="006B6AF0">
        <w:rPr>
          <w:rFonts w:ascii="Garamond" w:hAnsi="Garamond"/>
          <w:i/>
          <w:iCs/>
        </w:rPr>
        <w:t>itself</w:t>
      </w:r>
      <w:r>
        <w:rPr>
          <w:rFonts w:ascii="Garamond" w:hAnsi="Garamond"/>
        </w:rPr>
        <w:t xml:space="preserve"> a good thing (on that, we can remain entirely neutral). But just as we restrict the ways in which boxers may perform physical violence, we restrict the ways in which firms may engage in profit-seeking competition. Hence while they </w:t>
      </w:r>
      <w:r w:rsidRPr="0089246F">
        <w:rPr>
          <w:rFonts w:ascii="Garamond" w:hAnsi="Garamond"/>
          <w:i/>
          <w:iCs/>
        </w:rPr>
        <w:t>are</w:t>
      </w:r>
      <w:r>
        <w:rPr>
          <w:rFonts w:ascii="Garamond" w:hAnsi="Garamond"/>
        </w:rPr>
        <w:t xml:space="preserve"> allowed to compete in terms of manufacturing efficiency, they are </w:t>
      </w:r>
      <w:r w:rsidRPr="0089246F">
        <w:rPr>
          <w:rFonts w:ascii="Garamond" w:hAnsi="Garamond"/>
          <w:i/>
          <w:iCs/>
        </w:rPr>
        <w:t>not</w:t>
      </w:r>
      <w:r>
        <w:rPr>
          <w:rFonts w:ascii="Garamond" w:hAnsi="Garamond"/>
        </w:rPr>
        <w:t xml:space="preserve"> allowed to blow up a competitor’s factory. While they </w:t>
      </w:r>
      <w:r w:rsidRPr="0089246F">
        <w:rPr>
          <w:rFonts w:ascii="Garamond" w:hAnsi="Garamond"/>
          <w:i/>
          <w:iCs/>
        </w:rPr>
        <w:t>are</w:t>
      </w:r>
      <w:r>
        <w:rPr>
          <w:rFonts w:ascii="Garamond" w:hAnsi="Garamond"/>
        </w:rPr>
        <w:t xml:space="preserve"> allowed to engage in advertising to try and persuade consumers of the superiority of their product, they are </w:t>
      </w:r>
      <w:r w:rsidRPr="0089246F">
        <w:rPr>
          <w:rFonts w:ascii="Garamond" w:hAnsi="Garamond"/>
          <w:i/>
          <w:iCs/>
        </w:rPr>
        <w:t>not</w:t>
      </w:r>
      <w:r>
        <w:rPr>
          <w:rFonts w:ascii="Garamond" w:hAnsi="Garamond"/>
        </w:rPr>
        <w:t xml:space="preserve"> allowed to tell outright lies and engage in deliberate deception. While they </w:t>
      </w:r>
      <w:r w:rsidRPr="0089246F">
        <w:rPr>
          <w:rFonts w:ascii="Garamond" w:hAnsi="Garamond"/>
          <w:i/>
          <w:iCs/>
        </w:rPr>
        <w:t>are</w:t>
      </w:r>
      <w:r>
        <w:rPr>
          <w:rFonts w:ascii="Garamond" w:hAnsi="Garamond"/>
        </w:rPr>
        <w:t xml:space="preserve"> allowed to pay minimum wage to try and keep costs low, they are </w:t>
      </w:r>
      <w:r w:rsidRPr="0089246F">
        <w:rPr>
          <w:rFonts w:ascii="Garamond" w:hAnsi="Garamond"/>
          <w:i/>
          <w:iCs/>
        </w:rPr>
        <w:t>not</w:t>
      </w:r>
      <w:r>
        <w:rPr>
          <w:rFonts w:ascii="Garamond" w:hAnsi="Garamond"/>
        </w:rPr>
        <w:t xml:space="preserve"> allowed to enslave citizens in sweatshops. And so on. </w:t>
      </w:r>
    </w:p>
    <w:p w14:paraId="74515540" w14:textId="77777777" w:rsidR="00871AD2" w:rsidRDefault="00871AD2" w:rsidP="00871AD2">
      <w:pPr>
        <w:spacing w:line="480" w:lineRule="auto"/>
        <w:ind w:firstLine="720"/>
        <w:rPr>
          <w:rFonts w:ascii="Garamond" w:hAnsi="Garamond"/>
        </w:rPr>
      </w:pPr>
      <w:r>
        <w:rPr>
          <w:rFonts w:ascii="Garamond" w:hAnsi="Garamond"/>
        </w:rPr>
        <w:t xml:space="preserve">The key point is that profit-seeking corporations get only a </w:t>
      </w:r>
      <w:r>
        <w:rPr>
          <w:rFonts w:ascii="Garamond" w:hAnsi="Garamond"/>
          <w:i/>
          <w:iCs/>
        </w:rPr>
        <w:t>limited</w:t>
      </w:r>
      <w:r>
        <w:rPr>
          <w:rFonts w:ascii="Garamond" w:hAnsi="Garamond"/>
        </w:rPr>
        <w:t xml:space="preserve"> exemption from ordinary moral restraints regarding non-cooperative behaviour, not </w:t>
      </w:r>
      <w:r w:rsidRPr="00253012">
        <w:rPr>
          <w:rFonts w:ascii="Garamond" w:hAnsi="Garamond"/>
        </w:rPr>
        <w:t>carte</w:t>
      </w:r>
      <w:r w:rsidRPr="00202494">
        <w:rPr>
          <w:rFonts w:ascii="Garamond" w:hAnsi="Garamond"/>
          <w:i/>
          <w:iCs/>
        </w:rPr>
        <w:t xml:space="preserve"> </w:t>
      </w:r>
      <w:r w:rsidRPr="00253012">
        <w:rPr>
          <w:rFonts w:ascii="Garamond" w:hAnsi="Garamond"/>
        </w:rPr>
        <w:t>blanche</w:t>
      </w:r>
      <w:r>
        <w:rPr>
          <w:rFonts w:ascii="Garamond" w:hAnsi="Garamond"/>
        </w:rPr>
        <w:t xml:space="preserve">. The question of what exactly the exemptions should be, to what degree and in what circumstances, are in turn entirely appropriate sites for free debate and contestation in a democracy. These are </w:t>
      </w:r>
      <w:r w:rsidRPr="00202494">
        <w:rPr>
          <w:rFonts w:ascii="Garamond" w:hAnsi="Garamond"/>
          <w:i/>
          <w:iCs/>
        </w:rPr>
        <w:t>political</w:t>
      </w:r>
      <w:r>
        <w:rPr>
          <w:rFonts w:ascii="Garamond" w:hAnsi="Garamond"/>
        </w:rPr>
        <w:t xml:space="preserve"> decisions, which must ultimately always be made </w:t>
      </w:r>
      <w:proofErr w:type="gramStart"/>
      <w:r>
        <w:rPr>
          <w:rFonts w:ascii="Garamond" w:hAnsi="Garamond"/>
        </w:rPr>
        <w:t>on the basis of</w:t>
      </w:r>
      <w:proofErr w:type="gramEnd"/>
      <w:r>
        <w:rPr>
          <w:rFonts w:ascii="Garamond" w:hAnsi="Garamond"/>
        </w:rPr>
        <w:t xml:space="preserve"> (necessarily imperfect, because made by human beings) judgement calls, albeit hopefully being informed by a relatively good understanding of the basic economic facts in play. (Depressingly, of course, this is too often </w:t>
      </w:r>
      <w:r w:rsidRPr="00202494">
        <w:rPr>
          <w:rFonts w:ascii="Garamond" w:hAnsi="Garamond"/>
          <w:i/>
          <w:iCs/>
        </w:rPr>
        <w:t>not</w:t>
      </w:r>
      <w:r>
        <w:rPr>
          <w:rFonts w:ascii="Garamond" w:hAnsi="Garamond"/>
        </w:rPr>
        <w:t xml:space="preserve"> the case, as manifested in different ways on both left and right.) But once the political decisions about which exemptions to grant have indeed been made, ordinary moral responses towards profit-seeking corporations ought properly to be suspended, </w:t>
      </w:r>
      <w:r w:rsidRPr="00AC60DC">
        <w:rPr>
          <w:rFonts w:ascii="Garamond" w:hAnsi="Garamond"/>
          <w:i/>
          <w:iCs/>
        </w:rPr>
        <w:t>within the appropriate remit</w:t>
      </w:r>
      <w:r>
        <w:rPr>
          <w:rFonts w:ascii="Garamond" w:hAnsi="Garamond"/>
        </w:rPr>
        <w:t xml:space="preserve">, in roughly the same way as we suspend our moral intuitions about violence when watching a boxing match. The appropriate remit </w:t>
      </w:r>
      <w:proofErr w:type="gramStart"/>
      <w:r>
        <w:rPr>
          <w:rFonts w:ascii="Garamond" w:hAnsi="Garamond"/>
        </w:rPr>
        <w:t>being:</w:t>
      </w:r>
      <w:proofErr w:type="gramEnd"/>
      <w:r>
        <w:rPr>
          <w:rFonts w:ascii="Garamond" w:hAnsi="Garamond"/>
        </w:rPr>
        <w:t xml:space="preserve"> the general permissibility of corporate profit-seeking within the bounds of the law.</w:t>
      </w:r>
      <w:r>
        <w:rPr>
          <w:rStyle w:val="EndnoteReference"/>
          <w:rFonts w:ascii="Garamond" w:hAnsi="Garamond"/>
        </w:rPr>
        <w:endnoteReference w:id="25"/>
      </w:r>
      <w:r>
        <w:rPr>
          <w:rFonts w:ascii="Garamond" w:hAnsi="Garamond"/>
        </w:rPr>
        <w:t xml:space="preserve"> </w:t>
      </w:r>
    </w:p>
    <w:p w14:paraId="6F407647" w14:textId="77777777" w:rsidR="00871AD2" w:rsidRDefault="00871AD2" w:rsidP="00871AD2">
      <w:pPr>
        <w:spacing w:line="480" w:lineRule="auto"/>
        <w:ind w:firstLine="720"/>
        <w:rPr>
          <w:rFonts w:ascii="Garamond" w:hAnsi="Garamond"/>
        </w:rPr>
      </w:pPr>
      <w:r>
        <w:rPr>
          <w:rFonts w:ascii="Garamond" w:hAnsi="Garamond"/>
        </w:rPr>
        <w:lastRenderedPageBreak/>
        <w:t xml:space="preserve">The problem is that we are typically very bad at suspending our ordinary moral responses when it comes to corporate profit-seeking. While most people find it intuitively straightforward to suspend their ordinary moral reactions during sporting events, this proves decidedly harder when it comes to the activities of commercial companies. Part of the answer here doubtless lies in the comparative complexity of the intellectual reasoning required to see why a limited exemption ought indeed to be granted to corporations as regards nakedly partial behaviour. After all, it has just taken me several pages to lay out a condensed version of Heath’s more comprehensive, in many ways deeply counter-intuitive, argument, and it requires not insignificant mental agility for an enquirer to grasp the case being made. This puts the argument at a severe disadvantage to ordinary moral intuitions, which work by arising instantaneously, and precisely by </w:t>
      </w:r>
      <w:r w:rsidRPr="004D6826">
        <w:rPr>
          <w:rFonts w:ascii="Garamond" w:hAnsi="Garamond"/>
          <w:i/>
          <w:iCs/>
        </w:rPr>
        <w:t>being</w:t>
      </w:r>
      <w:r>
        <w:rPr>
          <w:rFonts w:ascii="Garamond" w:hAnsi="Garamond"/>
        </w:rPr>
        <w:t xml:space="preserve"> </w:t>
      </w:r>
      <w:r w:rsidRPr="00180AF3">
        <w:rPr>
          <w:rFonts w:ascii="Garamond" w:hAnsi="Garamond"/>
          <w:i/>
          <w:iCs/>
        </w:rPr>
        <w:t>intuitive</w:t>
      </w:r>
      <w:r>
        <w:rPr>
          <w:rFonts w:ascii="Garamond" w:hAnsi="Garamond"/>
        </w:rPr>
        <w:t>.</w:t>
      </w:r>
      <w:r>
        <w:rPr>
          <w:rStyle w:val="EndnoteReference"/>
          <w:rFonts w:ascii="Garamond" w:hAnsi="Garamond"/>
        </w:rPr>
        <w:endnoteReference w:id="26"/>
      </w:r>
      <w:r>
        <w:rPr>
          <w:rFonts w:ascii="Garamond" w:hAnsi="Garamond"/>
        </w:rPr>
        <w:t xml:space="preserve"> To quote Heath again, it is also probably why “</w:t>
      </w:r>
      <w:r w:rsidRPr="00E57CB6">
        <w:rPr>
          <w:rFonts w:ascii="Garamond" w:hAnsi="Garamond"/>
        </w:rPr>
        <w:t>moral critique of capitalism in general, and the profit motive in particular, remains so persistent, and why it is rediscovered—as though it were a fresh insight—by each new generation</w:t>
      </w:r>
      <w:r>
        <w:rPr>
          <w:rFonts w:ascii="Garamond" w:hAnsi="Garamond"/>
        </w:rPr>
        <w:t>”.</w:t>
      </w:r>
      <w:r>
        <w:rPr>
          <w:rStyle w:val="EndnoteReference"/>
          <w:rFonts w:ascii="Garamond" w:hAnsi="Garamond"/>
        </w:rPr>
        <w:endnoteReference w:id="27"/>
      </w:r>
      <w:r>
        <w:rPr>
          <w:rFonts w:ascii="Garamond" w:hAnsi="Garamond"/>
        </w:rPr>
        <w:t xml:space="preserve"> For present purposes, however, the point we can take from Heath’s analysis is the insight that </w:t>
      </w:r>
      <w:r>
        <w:rPr>
          <w:rFonts w:ascii="Garamond" w:hAnsi="Garamond"/>
          <w:i/>
          <w:iCs/>
        </w:rPr>
        <w:t xml:space="preserve">profit-seeking corporations by their nature mess with ordinary moral intuitions. </w:t>
      </w:r>
      <w:r>
        <w:rPr>
          <w:rFonts w:ascii="Garamond" w:hAnsi="Garamond"/>
        </w:rPr>
        <w:t>Once this is appreciated, a more satisfying conceptual perspective than the Cynical Take is enabled when it comes to the affiliation of brands with values.</w:t>
      </w:r>
    </w:p>
    <w:p w14:paraId="17066F91" w14:textId="77777777" w:rsidR="00871AD2" w:rsidRDefault="00871AD2" w:rsidP="00871AD2">
      <w:pPr>
        <w:spacing w:line="480" w:lineRule="auto"/>
        <w:rPr>
          <w:rFonts w:ascii="Garamond" w:hAnsi="Garamond"/>
        </w:rPr>
      </w:pPr>
    </w:p>
    <w:p w14:paraId="6CF2C532" w14:textId="77777777" w:rsidR="00871AD2" w:rsidRDefault="00871AD2" w:rsidP="00871AD2">
      <w:pPr>
        <w:spacing w:line="480" w:lineRule="auto"/>
        <w:jc w:val="center"/>
        <w:rPr>
          <w:rFonts w:ascii="Garamond" w:hAnsi="Garamond"/>
          <w:b/>
          <w:bCs/>
        </w:rPr>
      </w:pPr>
      <w:r>
        <w:rPr>
          <w:rFonts w:ascii="Garamond" w:hAnsi="Garamond"/>
          <w:b/>
          <w:bCs/>
        </w:rPr>
        <w:t>Corporate Moral Agents</w:t>
      </w:r>
    </w:p>
    <w:p w14:paraId="3883FFDB" w14:textId="77777777" w:rsidR="00871AD2" w:rsidRDefault="00871AD2" w:rsidP="00871AD2">
      <w:pPr>
        <w:spacing w:line="480" w:lineRule="auto"/>
        <w:rPr>
          <w:rFonts w:ascii="Garamond" w:hAnsi="Garamond"/>
        </w:rPr>
      </w:pPr>
      <w:r>
        <w:rPr>
          <w:rFonts w:ascii="Garamond" w:hAnsi="Garamond"/>
        </w:rPr>
        <w:t xml:space="preserve">There is a tendency in this area – and it is one upon which the Cynical Take trades – to view consumers as entirely passive, with profit-seeking corporations by contrast proactively seeking to manipulate them, in a unidirectional process. But this is too simplistic. It neglects, for a start, evidence that a majority of consumers </w:t>
      </w:r>
      <w:r w:rsidRPr="00873A59">
        <w:rPr>
          <w:rFonts w:ascii="Garamond" w:hAnsi="Garamond"/>
          <w:i/>
          <w:iCs/>
        </w:rPr>
        <w:t>expect</w:t>
      </w:r>
      <w:r>
        <w:rPr>
          <w:rFonts w:ascii="Garamond" w:hAnsi="Garamond"/>
          <w:i/>
          <w:iCs/>
        </w:rPr>
        <w:t xml:space="preserve"> </w:t>
      </w:r>
      <w:r>
        <w:rPr>
          <w:rFonts w:ascii="Garamond" w:hAnsi="Garamond"/>
        </w:rPr>
        <w:t>brands to take a stand on sociopolitical issues.</w:t>
      </w:r>
      <w:r>
        <w:rPr>
          <w:rStyle w:val="EndnoteReference"/>
          <w:rFonts w:ascii="Garamond" w:hAnsi="Garamond"/>
        </w:rPr>
        <w:endnoteReference w:id="28"/>
      </w:r>
      <w:r>
        <w:rPr>
          <w:rFonts w:ascii="Garamond" w:hAnsi="Garamond"/>
        </w:rPr>
        <w:t xml:space="preserve"> A 2019 survey, for example, indicated that 70% of consumers believe that it is important for brands to take a public stand on social and political matters.</w:t>
      </w:r>
      <w:r>
        <w:rPr>
          <w:rStyle w:val="EndnoteReference"/>
          <w:rFonts w:ascii="Garamond" w:hAnsi="Garamond"/>
        </w:rPr>
        <w:endnoteReference w:id="29"/>
      </w:r>
      <w:r>
        <w:rPr>
          <w:rFonts w:ascii="Garamond" w:hAnsi="Garamond"/>
        </w:rPr>
        <w:t xml:space="preserve"> To some extent, brands are </w:t>
      </w:r>
      <w:r>
        <w:rPr>
          <w:rFonts w:ascii="Garamond" w:hAnsi="Garamond"/>
          <w:i/>
          <w:iCs/>
        </w:rPr>
        <w:t xml:space="preserve">responding </w:t>
      </w:r>
      <w:r>
        <w:rPr>
          <w:rFonts w:ascii="Garamond" w:hAnsi="Garamond"/>
        </w:rPr>
        <w:t xml:space="preserve">to consumer expectations when they present themselves as aligned with specific values; </w:t>
      </w:r>
      <w:r>
        <w:rPr>
          <w:rFonts w:ascii="Garamond" w:hAnsi="Garamond"/>
        </w:rPr>
        <w:lastRenderedPageBreak/>
        <w:t xml:space="preserve">they rightly identify that if they do not do this, they will be at a market disadvantage vis-à-vis competitors who do (or at least, competitors who do it successfully). </w:t>
      </w:r>
    </w:p>
    <w:p w14:paraId="3AFB5597" w14:textId="77777777" w:rsidR="00871AD2" w:rsidRDefault="00871AD2" w:rsidP="00871AD2">
      <w:pPr>
        <w:spacing w:line="480" w:lineRule="auto"/>
        <w:ind w:firstLine="720"/>
        <w:rPr>
          <w:rFonts w:ascii="Garamond" w:hAnsi="Garamond"/>
        </w:rPr>
      </w:pPr>
      <w:r>
        <w:rPr>
          <w:rFonts w:ascii="Garamond" w:hAnsi="Garamond"/>
        </w:rPr>
        <w:t xml:space="preserve">But why do (a great many) consumers expect brands to align themselves with values? The answer appears to be that regardless of how tricky the metaphysics of corporate intentions and motives prove (and they are </w:t>
      </w:r>
      <w:r w:rsidRPr="0087493F">
        <w:rPr>
          <w:rFonts w:ascii="Garamond" w:hAnsi="Garamond"/>
        </w:rPr>
        <w:t>fiendishly</w:t>
      </w:r>
      <w:r>
        <w:rPr>
          <w:rFonts w:ascii="Garamond" w:hAnsi="Garamond"/>
        </w:rPr>
        <w:t xml:space="preserve"> so</w:t>
      </w:r>
      <w:r>
        <w:rPr>
          <w:rStyle w:val="EndnoteReference"/>
          <w:rFonts w:ascii="Garamond" w:hAnsi="Garamond"/>
        </w:rPr>
        <w:endnoteReference w:id="30"/>
      </w:r>
      <w:r>
        <w:rPr>
          <w:rFonts w:ascii="Garamond" w:hAnsi="Garamond"/>
        </w:rPr>
        <w:t>), we routinely treat corporate entities as appropriate loci of moral appraisal. “</w:t>
      </w:r>
      <w:r w:rsidRPr="00E556AC">
        <w:rPr>
          <w:rFonts w:ascii="Garamond" w:hAnsi="Garamond"/>
        </w:rPr>
        <w:t xml:space="preserve">Our common moral practices involve making judgments about the </w:t>
      </w:r>
      <w:proofErr w:type="spellStart"/>
      <w:r w:rsidRPr="00E556AC">
        <w:rPr>
          <w:rFonts w:ascii="Garamond" w:hAnsi="Garamond"/>
        </w:rPr>
        <w:t>behavior</w:t>
      </w:r>
      <w:proofErr w:type="spellEnd"/>
      <w:r w:rsidRPr="00E556AC">
        <w:rPr>
          <w:rFonts w:ascii="Garamond" w:hAnsi="Garamond"/>
        </w:rPr>
        <w:t xml:space="preserve"> of corporations, and not merely about the </w:t>
      </w:r>
      <w:proofErr w:type="spellStart"/>
      <w:r w:rsidRPr="00E556AC">
        <w:rPr>
          <w:rFonts w:ascii="Garamond" w:hAnsi="Garamond"/>
        </w:rPr>
        <w:t>behavior</w:t>
      </w:r>
      <w:proofErr w:type="spellEnd"/>
      <w:r w:rsidRPr="00E556AC">
        <w:rPr>
          <w:rFonts w:ascii="Garamond" w:hAnsi="Garamond"/>
        </w:rPr>
        <w:t xml:space="preserve"> of individual employees or even executives. We seem to have the same inevitable ‘reactive attitudes’ toward corporations as PF Strawson famously suggested we have toward our fellow humans. In other words, we seem stuck with the fact that we just </w:t>
      </w:r>
      <w:r w:rsidRPr="00E556AC">
        <w:rPr>
          <w:rFonts w:ascii="Garamond" w:hAnsi="Garamond"/>
          <w:i/>
          <w:iCs/>
        </w:rPr>
        <w:t xml:space="preserve">do </w:t>
      </w:r>
      <w:r w:rsidRPr="00E556AC">
        <w:rPr>
          <w:rFonts w:ascii="Garamond" w:hAnsi="Garamond"/>
        </w:rPr>
        <w:t xml:space="preserve">talk about the moral </w:t>
      </w:r>
      <w:proofErr w:type="spellStart"/>
      <w:r w:rsidRPr="00E556AC">
        <w:rPr>
          <w:rFonts w:ascii="Garamond" w:hAnsi="Garamond"/>
        </w:rPr>
        <w:t>behavior</w:t>
      </w:r>
      <w:proofErr w:type="spellEnd"/>
      <w:r w:rsidRPr="00E556AC">
        <w:rPr>
          <w:rFonts w:ascii="Garamond" w:hAnsi="Garamond"/>
        </w:rPr>
        <w:t xml:space="preserve"> of corporations</w:t>
      </w:r>
      <w:r>
        <w:rPr>
          <w:rFonts w:ascii="Garamond" w:hAnsi="Garamond"/>
        </w:rPr>
        <w:t>”.</w:t>
      </w:r>
      <w:r>
        <w:rPr>
          <w:rStyle w:val="EndnoteReference"/>
          <w:rFonts w:ascii="Garamond" w:hAnsi="Garamond"/>
        </w:rPr>
        <w:endnoteReference w:id="31"/>
      </w:r>
      <w:r>
        <w:rPr>
          <w:rFonts w:ascii="Garamond" w:hAnsi="Garamond"/>
        </w:rPr>
        <w:t xml:space="preserve"> In other words, we seem unable to help ourselves from viewing corporate entities as </w:t>
      </w:r>
      <w:r w:rsidRPr="00117971">
        <w:rPr>
          <w:rFonts w:ascii="Garamond" w:hAnsi="Garamond"/>
          <w:i/>
          <w:iCs/>
        </w:rPr>
        <w:t>moral</w:t>
      </w:r>
      <w:r>
        <w:rPr>
          <w:rFonts w:ascii="Garamond" w:hAnsi="Garamond"/>
        </w:rPr>
        <w:t xml:space="preserve"> </w:t>
      </w:r>
      <w:r w:rsidRPr="00117971">
        <w:rPr>
          <w:rFonts w:ascii="Garamond" w:hAnsi="Garamond"/>
          <w:i/>
          <w:iCs/>
        </w:rPr>
        <w:t>agents</w:t>
      </w:r>
      <w:r>
        <w:rPr>
          <w:rFonts w:ascii="Garamond" w:hAnsi="Garamond"/>
        </w:rPr>
        <w:t xml:space="preserve">, at least in certain regards and to certain extents. Yet one thing that characterises moral agents, and that we expect from them in turn, is for them </w:t>
      </w:r>
      <w:r w:rsidRPr="00117971">
        <w:rPr>
          <w:rFonts w:ascii="Garamond" w:hAnsi="Garamond"/>
          <w:i/>
          <w:iCs/>
        </w:rPr>
        <w:t>to have moral values</w:t>
      </w:r>
      <w:r>
        <w:rPr>
          <w:rFonts w:ascii="Garamond" w:hAnsi="Garamond"/>
        </w:rPr>
        <w:t xml:space="preserve">. Perhaps we are ultimately mistaken in doing so. Perhaps the world would somehow be better if we stopped doing so. But insofar as we do in fact do so (and we do), we must recognise that when profit-seeking corporations present their brands as aligning with certain values, they are doing what we (or at least a great many of us) </w:t>
      </w:r>
      <w:r w:rsidRPr="00117971">
        <w:rPr>
          <w:rFonts w:ascii="Garamond" w:hAnsi="Garamond"/>
          <w:i/>
          <w:iCs/>
        </w:rPr>
        <w:t>expect</w:t>
      </w:r>
      <w:r>
        <w:rPr>
          <w:rFonts w:ascii="Garamond" w:hAnsi="Garamond"/>
        </w:rPr>
        <w:t xml:space="preserve"> them to do. The Cynical Take cannot account for this, hence at the very least cannot be the whole story.</w:t>
      </w:r>
    </w:p>
    <w:p w14:paraId="570F644F" w14:textId="77777777" w:rsidR="00871AD2" w:rsidRDefault="00871AD2" w:rsidP="00871AD2">
      <w:pPr>
        <w:spacing w:line="480" w:lineRule="auto"/>
        <w:ind w:firstLine="720"/>
        <w:rPr>
          <w:rFonts w:ascii="Garamond" w:hAnsi="Garamond"/>
        </w:rPr>
      </w:pPr>
      <w:r>
        <w:rPr>
          <w:rFonts w:ascii="Garamond" w:hAnsi="Garamond"/>
        </w:rPr>
        <w:t>But we ought not to stop at the consumer-brand interface. For it is important to remember that the people who work for profit-seeking corporations – who design packaging, come up with advertising campaigns, oversee marketing strategies, etc. – are themselves ordinary human beings, with ordinary moral intuitions.</w:t>
      </w:r>
      <w:r>
        <w:rPr>
          <w:rStyle w:val="EndnoteReference"/>
          <w:rFonts w:ascii="Garamond" w:hAnsi="Garamond"/>
        </w:rPr>
        <w:endnoteReference w:id="32"/>
      </w:r>
      <w:r>
        <w:rPr>
          <w:rFonts w:ascii="Garamond" w:hAnsi="Garamond"/>
        </w:rPr>
        <w:t xml:space="preserve"> But as noted, </w:t>
      </w:r>
      <w:r>
        <w:rPr>
          <w:rFonts w:ascii="Garamond" w:hAnsi="Garamond"/>
          <w:i/>
          <w:iCs/>
        </w:rPr>
        <w:t>profit-seeking corporations mess with ordinary moral intuitions</w:t>
      </w:r>
      <w:r>
        <w:rPr>
          <w:rFonts w:ascii="Garamond" w:hAnsi="Garamond"/>
        </w:rPr>
        <w:t xml:space="preserve">. We have already seen two ways in which this can play out. First, that we </w:t>
      </w:r>
      <w:proofErr w:type="gramStart"/>
      <w:r>
        <w:rPr>
          <w:rFonts w:ascii="Garamond" w:hAnsi="Garamond"/>
        </w:rPr>
        <w:t>have a tendency to</w:t>
      </w:r>
      <w:proofErr w:type="gramEnd"/>
      <w:r>
        <w:rPr>
          <w:rFonts w:ascii="Garamond" w:hAnsi="Garamond"/>
        </w:rPr>
        <w:t xml:space="preserve"> code profit-seeking behaviour as </w:t>
      </w:r>
      <w:r w:rsidRPr="00056B1F">
        <w:rPr>
          <w:rFonts w:ascii="Garamond" w:hAnsi="Garamond"/>
          <w:i/>
          <w:iCs/>
        </w:rPr>
        <w:t>selfishness</w:t>
      </w:r>
      <w:r>
        <w:rPr>
          <w:rFonts w:ascii="Garamond" w:hAnsi="Garamond"/>
        </w:rPr>
        <w:t xml:space="preserve">, and thus as morally bad. Second, that we tend to code profit-seeking corporations as themselves moral agents, of whom we accordingly expect a capacity for </w:t>
      </w:r>
      <w:r>
        <w:rPr>
          <w:rFonts w:ascii="Garamond" w:hAnsi="Garamond"/>
          <w:i/>
          <w:iCs/>
        </w:rPr>
        <w:t>moral behaviour</w:t>
      </w:r>
      <w:r>
        <w:rPr>
          <w:rFonts w:ascii="Garamond" w:hAnsi="Garamond"/>
        </w:rPr>
        <w:t xml:space="preserve">, a subfactor of which is the possession of </w:t>
      </w:r>
      <w:r>
        <w:rPr>
          <w:rFonts w:ascii="Garamond" w:hAnsi="Garamond"/>
          <w:i/>
          <w:iCs/>
        </w:rPr>
        <w:t xml:space="preserve">moral </w:t>
      </w:r>
      <w:r>
        <w:rPr>
          <w:rFonts w:ascii="Garamond" w:hAnsi="Garamond"/>
          <w:i/>
          <w:iCs/>
        </w:rPr>
        <w:lastRenderedPageBreak/>
        <w:t>values</w:t>
      </w:r>
      <w:r>
        <w:rPr>
          <w:rFonts w:ascii="Garamond" w:hAnsi="Garamond"/>
        </w:rPr>
        <w:t xml:space="preserve"> – despite the fact it seems obviously untenable to subject artificial corporate entities to the same (moral) criteria that we apply to individual human beings. But there is also a third way: that individuals who work for, and indeed make up the activities of, corporate entities, will </w:t>
      </w:r>
      <w:r w:rsidRPr="00D36126">
        <w:rPr>
          <w:rFonts w:ascii="Garamond" w:hAnsi="Garamond"/>
          <w:i/>
          <w:iCs/>
        </w:rPr>
        <w:t>themselves</w:t>
      </w:r>
      <w:r>
        <w:rPr>
          <w:rFonts w:ascii="Garamond" w:hAnsi="Garamond"/>
        </w:rPr>
        <w:t xml:space="preserve"> have moral reactions to the very corporate entity for which they work.</w:t>
      </w:r>
    </w:p>
    <w:p w14:paraId="04881E78" w14:textId="77777777" w:rsidR="00871AD2" w:rsidRDefault="00871AD2" w:rsidP="00871AD2">
      <w:pPr>
        <w:spacing w:line="480" w:lineRule="auto"/>
        <w:ind w:firstLine="720"/>
        <w:rPr>
          <w:rFonts w:ascii="Garamond" w:hAnsi="Garamond"/>
        </w:rPr>
      </w:pPr>
      <w:r>
        <w:rPr>
          <w:rFonts w:ascii="Garamond" w:hAnsi="Garamond"/>
        </w:rPr>
        <w:t xml:space="preserve">To see why this matters, consider that it is very implausible to suppose that whilst third-party observers of corporate activity tend to code profit seeking as selfishness (and therefore as morally bad), by contrast the individuals who work for corporate entities are somehow automatically immune from this kind of ordinary moral reaction. Now to be sure, </w:t>
      </w:r>
      <w:r>
        <w:rPr>
          <w:rFonts w:ascii="Garamond" w:hAnsi="Garamond"/>
          <w:i/>
          <w:iCs/>
        </w:rPr>
        <w:t>some</w:t>
      </w:r>
      <w:r>
        <w:rPr>
          <w:rFonts w:ascii="Garamond" w:hAnsi="Garamond"/>
        </w:rPr>
        <w:t xml:space="preserve"> of the people who work for profit-seeking corporations may well turn out to have typically weaker moral reactions against partial behaviour </w:t>
      </w:r>
      <w:r>
        <w:rPr>
          <w:rFonts w:ascii="Garamond" w:hAnsi="Garamond"/>
          <w:i/>
          <w:iCs/>
        </w:rPr>
        <w:t>in general</w:t>
      </w:r>
      <w:r>
        <w:rPr>
          <w:rFonts w:ascii="Garamond" w:hAnsi="Garamond"/>
        </w:rPr>
        <w:t xml:space="preserve"> than is found amongst the median person in their society. We should not be especially surprised if people who </w:t>
      </w:r>
      <w:r w:rsidRPr="002A064C">
        <w:rPr>
          <w:rFonts w:ascii="Garamond" w:hAnsi="Garamond"/>
          <w:i/>
          <w:iCs/>
        </w:rPr>
        <w:t>in</w:t>
      </w:r>
      <w:r>
        <w:rPr>
          <w:rFonts w:ascii="Garamond" w:hAnsi="Garamond"/>
        </w:rPr>
        <w:t xml:space="preserve"> </w:t>
      </w:r>
      <w:r w:rsidRPr="002A064C">
        <w:rPr>
          <w:rFonts w:ascii="Garamond" w:hAnsi="Garamond"/>
          <w:i/>
          <w:iCs/>
        </w:rPr>
        <w:t>general</w:t>
      </w:r>
      <w:r>
        <w:rPr>
          <w:rFonts w:ascii="Garamond" w:hAnsi="Garamond"/>
        </w:rPr>
        <w:t xml:space="preserve"> have (more) relaxed attitudes towards partial behaviour find it easier, or less personally discomfiting, to work for profit-seeking corporations, as compared with people who hold the general prohibition on partial behaviour more vociferously. We may well find that a more relaxed attitude correlates with being successful in working for a profit-seeking corporation’s marketing division, in a similar way to how we should not be surprised to discover that those with sociopathic tendencies emerge as natural killers amongst battlefield military.</w:t>
      </w:r>
      <w:r>
        <w:rPr>
          <w:rStyle w:val="EndnoteReference"/>
          <w:rFonts w:ascii="Garamond" w:hAnsi="Garamond"/>
        </w:rPr>
        <w:endnoteReference w:id="33"/>
      </w:r>
      <w:r>
        <w:rPr>
          <w:rFonts w:ascii="Garamond" w:hAnsi="Garamond"/>
        </w:rPr>
        <w:t xml:space="preserve"> The point here is not to make a normative judgement, but rather a sociological prediction about how employment patterns are likely to play out across an aggregate population, given variation in underlying (moral) psychologies. </w:t>
      </w:r>
    </w:p>
    <w:p w14:paraId="7505870E" w14:textId="77777777" w:rsidR="00871AD2" w:rsidRDefault="00871AD2" w:rsidP="00871AD2">
      <w:pPr>
        <w:spacing w:line="480" w:lineRule="auto"/>
        <w:ind w:firstLine="720"/>
        <w:rPr>
          <w:rFonts w:ascii="Garamond" w:hAnsi="Garamond"/>
        </w:rPr>
      </w:pPr>
      <w:r>
        <w:rPr>
          <w:rFonts w:ascii="Garamond" w:hAnsi="Garamond"/>
        </w:rPr>
        <w:t xml:space="preserve">Nonetheless, it will be implausible to suppose that everybody who works in (e.g.) a brand marketing division is simply relaxed about partial behaviours in general, and hence by extension less intuitively perturbed by corporate profit-seeking than the median person in the wider population. Even if such employees have a </w:t>
      </w:r>
      <w:r>
        <w:rPr>
          <w:rFonts w:ascii="Garamond" w:hAnsi="Garamond"/>
          <w:i/>
          <w:iCs/>
        </w:rPr>
        <w:t xml:space="preserve">tendency </w:t>
      </w:r>
      <w:r>
        <w:rPr>
          <w:rFonts w:ascii="Garamond" w:hAnsi="Garamond"/>
        </w:rPr>
        <w:t xml:space="preserve">to be more relaxed </w:t>
      </w:r>
      <w:r w:rsidRPr="00B800CC">
        <w:rPr>
          <w:rFonts w:ascii="Garamond" w:hAnsi="Garamond"/>
          <w:i/>
          <w:iCs/>
        </w:rPr>
        <w:t>than</w:t>
      </w:r>
      <w:r>
        <w:rPr>
          <w:rFonts w:ascii="Garamond" w:hAnsi="Garamond"/>
        </w:rPr>
        <w:t xml:space="preserve"> </w:t>
      </w:r>
      <w:r w:rsidRPr="00B800CC">
        <w:rPr>
          <w:rFonts w:ascii="Garamond" w:hAnsi="Garamond"/>
          <w:i/>
          <w:iCs/>
        </w:rPr>
        <w:t>average</w:t>
      </w:r>
      <w:r>
        <w:rPr>
          <w:rFonts w:ascii="Garamond" w:hAnsi="Garamond"/>
        </w:rPr>
        <w:t xml:space="preserve">, it will not straightforwardly follow that all of them are indeed relaxed, and to the extent that they experience </w:t>
      </w:r>
      <w:r w:rsidRPr="0059497D">
        <w:rPr>
          <w:rFonts w:ascii="Garamond" w:hAnsi="Garamond"/>
          <w:i/>
          <w:iCs/>
        </w:rPr>
        <w:t>no</w:t>
      </w:r>
      <w:r>
        <w:rPr>
          <w:rFonts w:ascii="Garamond" w:hAnsi="Garamond"/>
        </w:rPr>
        <w:t xml:space="preserve"> personal friction between ordinary moral intuitions prohibiting selfishness, and profit-seeking as something they are contributing to directly via their salaried work. The question </w:t>
      </w:r>
      <w:r>
        <w:rPr>
          <w:rFonts w:ascii="Garamond" w:hAnsi="Garamond"/>
        </w:rPr>
        <w:lastRenderedPageBreak/>
        <w:t>thus becomes: how do employees resolve any residual tension? At least three (non-exclusive) strategies are available: Ignore; Rationalise; Compensate.</w:t>
      </w:r>
    </w:p>
    <w:p w14:paraId="701B1D64" w14:textId="77777777" w:rsidR="00871AD2" w:rsidRDefault="00871AD2" w:rsidP="00871AD2">
      <w:pPr>
        <w:spacing w:line="480" w:lineRule="auto"/>
        <w:ind w:firstLine="720"/>
        <w:rPr>
          <w:rFonts w:ascii="Garamond" w:hAnsi="Garamond"/>
        </w:rPr>
      </w:pPr>
    </w:p>
    <w:p w14:paraId="5B438887" w14:textId="77777777" w:rsidR="00871AD2" w:rsidRDefault="00871AD2" w:rsidP="00871AD2">
      <w:pPr>
        <w:spacing w:line="480" w:lineRule="auto"/>
        <w:ind w:left="720"/>
        <w:rPr>
          <w:rFonts w:ascii="Garamond" w:hAnsi="Garamond"/>
        </w:rPr>
      </w:pPr>
      <w:r w:rsidRPr="002F0819">
        <w:rPr>
          <w:rFonts w:ascii="Garamond" w:hAnsi="Garamond"/>
          <w:i/>
          <w:iCs/>
        </w:rPr>
        <w:t>Ignore:</w:t>
      </w:r>
      <w:r>
        <w:rPr>
          <w:rFonts w:ascii="Garamond" w:hAnsi="Garamond"/>
          <w:i/>
          <w:iCs/>
        </w:rPr>
        <w:t xml:space="preserve"> </w:t>
      </w:r>
      <w:r>
        <w:rPr>
          <w:rFonts w:ascii="Garamond" w:hAnsi="Garamond"/>
        </w:rPr>
        <w:t xml:space="preserve">The most straightforward, and perhaps most common, response is simply to ignore any potential moral conflict between one’s ordinary intuitions and one’s employment. (As the famous Upton Sinclair quotation goes, “It is difficult to get a man to understand something, when his salary depends on his not understanding it”.) However, it is important to emphasise that this point can be made </w:t>
      </w:r>
      <w:r w:rsidRPr="002F0819">
        <w:rPr>
          <w:rFonts w:ascii="Garamond" w:hAnsi="Garamond"/>
          <w:i/>
          <w:iCs/>
        </w:rPr>
        <w:t>without</w:t>
      </w:r>
      <w:r>
        <w:rPr>
          <w:rFonts w:ascii="Garamond" w:hAnsi="Garamond"/>
        </w:rPr>
        <w:t xml:space="preserve"> implying normative criticism, all things considered. The world is complicated, individual lives are complicated, and people face varying challenges in negotiating how to provide not just for themselves, but their families. Similarly, the capacity of individuals to ignore any residual moral tension will vary. We should expect to see a meaningful degree of self-selection into different professional vocations being correlated with such a capacity. (We also might not be surprised to find people who have self-selected into professions where this tension does not often manifest as exhibiting a propensity to get on their high horses regarding those in lines of work which require more routine engagement in the strategy of ignoring. Leftist academic philosophers are often a case in point here.) Furthermore, profit-seeking corporate employers may seek to enhance the ability of employees to engage in the ignoring strategy by promoting internal corporate values that present workplace activity as something other than helping the company secure profit (e.g. that one is not simply employed by Walmart, but is part of “the Walmart family”, and so forth).</w:t>
      </w:r>
    </w:p>
    <w:p w14:paraId="48D97EFB" w14:textId="77777777" w:rsidR="00871AD2" w:rsidRDefault="00871AD2" w:rsidP="00871AD2">
      <w:pPr>
        <w:spacing w:line="480" w:lineRule="auto"/>
        <w:ind w:left="720"/>
        <w:rPr>
          <w:rFonts w:ascii="Garamond" w:hAnsi="Garamond"/>
        </w:rPr>
      </w:pPr>
    </w:p>
    <w:p w14:paraId="5AE93827" w14:textId="77777777" w:rsidR="00871AD2" w:rsidRDefault="00871AD2" w:rsidP="00871AD2">
      <w:pPr>
        <w:spacing w:line="480" w:lineRule="auto"/>
        <w:ind w:left="720"/>
        <w:rPr>
          <w:rFonts w:ascii="Garamond" w:hAnsi="Garamond"/>
        </w:rPr>
      </w:pPr>
      <w:r>
        <w:rPr>
          <w:rFonts w:ascii="Garamond" w:hAnsi="Garamond"/>
          <w:i/>
          <w:iCs/>
        </w:rPr>
        <w:t>Rationalise</w:t>
      </w:r>
      <w:r>
        <w:rPr>
          <w:rFonts w:ascii="Garamond" w:hAnsi="Garamond"/>
        </w:rPr>
        <w:t xml:space="preserve">: Here the strategy is to </w:t>
      </w:r>
      <w:r>
        <w:rPr>
          <w:rFonts w:ascii="Garamond" w:hAnsi="Garamond"/>
          <w:i/>
          <w:iCs/>
        </w:rPr>
        <w:t>dissolve</w:t>
      </w:r>
      <w:r>
        <w:rPr>
          <w:rFonts w:ascii="Garamond" w:hAnsi="Garamond"/>
        </w:rPr>
        <w:t xml:space="preserve"> the pre-reflective tension between ordinary moral intuitions and one’s employment by a profit-seeking corporation. In many cases this is an entirely respectable strategy, both intellectually and ethically. It essentially </w:t>
      </w:r>
      <w:r>
        <w:rPr>
          <w:rFonts w:ascii="Garamond" w:hAnsi="Garamond"/>
        </w:rPr>
        <w:lastRenderedPageBreak/>
        <w:t xml:space="preserve">consists of appealing to the argument made in the previous section. However, due to the cumbersome and counter-intuitive nature of that argument, we often observe people engaged in this strategy employing heuristic shortcuts. Take, for example, the mantra that one’s profit-seeking corporation is contributing to economic growth and is thus “a wealth creator”, one that “provides jobs” – and hence which does good overall. (It is no coincidence that such language is beloved of CEOs and centre-right politicians: it enables them to feel morally at-ease with a world that is already working well for them.) Of course, whether it is </w:t>
      </w:r>
      <w:r w:rsidRPr="00080B59">
        <w:rPr>
          <w:rFonts w:ascii="Garamond" w:hAnsi="Garamond"/>
          <w:i/>
          <w:iCs/>
        </w:rPr>
        <w:t>true</w:t>
      </w:r>
      <w:r>
        <w:rPr>
          <w:rFonts w:ascii="Garamond" w:hAnsi="Garamond"/>
        </w:rPr>
        <w:t xml:space="preserve"> that a particular corporation is doing good overall by creating wealth and providing jobs will be an empirical question, with a case-by-case answer. And in some more extreme examples, such a strategy can slip into outright self-deception, which may itself have seriously questionable ethical status (think of the ad man who justifies his successful cigarette marketing campaign </w:t>
      </w:r>
      <w:r w:rsidRPr="00E46DF2">
        <w:rPr>
          <w:rFonts w:ascii="Garamond" w:hAnsi="Garamond"/>
        </w:rPr>
        <w:t>on</w:t>
      </w:r>
      <w:r>
        <w:rPr>
          <w:rFonts w:ascii="Garamond" w:hAnsi="Garamond"/>
        </w:rPr>
        <w:t xml:space="preserve"> the basis that Big Tobacco generates jobs). More generally, there is the awkward fact that humans exhibit “</w:t>
      </w:r>
      <w:r w:rsidRPr="00AC579D">
        <w:rPr>
          <w:rFonts w:ascii="Garamond" w:hAnsi="Garamond"/>
        </w:rPr>
        <w:t>a strange preference…to find epistemic reasons for beliefs held for non-epistemic reasons</w:t>
      </w:r>
      <w:r>
        <w:rPr>
          <w:rFonts w:ascii="Garamond" w:hAnsi="Garamond"/>
        </w:rPr>
        <w:t>” and hence are highly responsive to sources that</w:t>
      </w:r>
      <w:r>
        <w:rPr>
          <w:rFonts w:ascii="Garamond" w:hAnsi="Garamond"/>
          <w:i/>
          <w:iCs/>
        </w:rPr>
        <w:t xml:space="preserve"> </w:t>
      </w:r>
      <w:r w:rsidRPr="00AC579D">
        <w:rPr>
          <w:rFonts w:ascii="Garamond" w:hAnsi="Garamond"/>
        </w:rPr>
        <w:t>“provide epistemic ammunition for predetermined conclusions</w:t>
      </w:r>
      <w:r>
        <w:rPr>
          <w:rFonts w:ascii="Garamond" w:hAnsi="Garamond"/>
        </w:rPr>
        <w:t>”.</w:t>
      </w:r>
      <w:r>
        <w:rPr>
          <w:rStyle w:val="EndnoteReference"/>
          <w:rFonts w:ascii="Garamond" w:hAnsi="Garamond"/>
        </w:rPr>
        <w:endnoteReference w:id="34"/>
      </w:r>
      <w:r>
        <w:rPr>
          <w:rFonts w:ascii="Garamond" w:hAnsi="Garamond"/>
        </w:rPr>
        <w:t xml:space="preserve"> If people set out </w:t>
      </w:r>
      <w:r>
        <w:rPr>
          <w:rFonts w:ascii="Garamond" w:hAnsi="Garamond"/>
          <w:i/>
          <w:iCs/>
        </w:rPr>
        <w:t>wanting</w:t>
      </w:r>
      <w:r>
        <w:rPr>
          <w:rFonts w:ascii="Garamond" w:hAnsi="Garamond"/>
        </w:rPr>
        <w:t xml:space="preserve"> to successfully rationalise their employer’s activities, then they are disposed to find evidence that they interpret as supporting what they already want to believe. This is just a fact about how Homo Sapiens seem to be (and hence the Upton Sinclair quip applies twice over). Nonetheless the strategy of rationalisation is in and of itself entirely appropriate, so long as it is adopted in the right way in the right circumstances.</w:t>
      </w:r>
    </w:p>
    <w:p w14:paraId="401C0942" w14:textId="77777777" w:rsidR="00871AD2" w:rsidRDefault="00871AD2" w:rsidP="00871AD2">
      <w:pPr>
        <w:spacing w:line="480" w:lineRule="auto"/>
        <w:ind w:left="720"/>
        <w:rPr>
          <w:rFonts w:ascii="Garamond" w:hAnsi="Garamond"/>
        </w:rPr>
      </w:pPr>
    </w:p>
    <w:p w14:paraId="0E9C01B2" w14:textId="77777777" w:rsidR="00871AD2" w:rsidRDefault="00871AD2" w:rsidP="00871AD2">
      <w:pPr>
        <w:spacing w:line="480" w:lineRule="auto"/>
        <w:ind w:left="720"/>
        <w:rPr>
          <w:rFonts w:ascii="Garamond" w:hAnsi="Garamond"/>
        </w:rPr>
      </w:pPr>
      <w:r>
        <w:rPr>
          <w:rFonts w:ascii="Garamond" w:hAnsi="Garamond"/>
          <w:i/>
          <w:iCs/>
        </w:rPr>
        <w:t>Compensate</w:t>
      </w:r>
      <w:r>
        <w:rPr>
          <w:rFonts w:ascii="Garamond" w:hAnsi="Garamond"/>
        </w:rPr>
        <w:t xml:space="preserve">: A final strategy, however, is to engage in compensation: hoping to balance the moral scales. After all, if one feels queasy about the apparently selfish, or perhaps just grimly </w:t>
      </w:r>
      <w:r w:rsidRPr="007160D2">
        <w:rPr>
          <w:rFonts w:ascii="Garamond" w:hAnsi="Garamond"/>
          <w:i/>
          <w:iCs/>
        </w:rPr>
        <w:t>amoral</w:t>
      </w:r>
      <w:r>
        <w:rPr>
          <w:rFonts w:ascii="Garamond" w:hAnsi="Garamond"/>
        </w:rPr>
        <w:t xml:space="preserve">, nature of one’s parent corporation, then one potential response is to offset </w:t>
      </w:r>
      <w:r>
        <w:rPr>
          <w:rFonts w:ascii="Garamond" w:hAnsi="Garamond"/>
        </w:rPr>
        <w:lastRenderedPageBreak/>
        <w:t xml:space="preserve">this by attempting to have one’s corporation engage in some activity that is </w:t>
      </w:r>
      <w:r w:rsidRPr="007160D2">
        <w:rPr>
          <w:rFonts w:ascii="Garamond" w:hAnsi="Garamond"/>
          <w:i/>
          <w:iCs/>
        </w:rPr>
        <w:t>morally</w:t>
      </w:r>
      <w:r>
        <w:rPr>
          <w:rFonts w:ascii="Garamond" w:hAnsi="Garamond"/>
        </w:rPr>
        <w:t xml:space="preserve"> </w:t>
      </w:r>
      <w:r w:rsidRPr="007160D2">
        <w:rPr>
          <w:rFonts w:ascii="Garamond" w:hAnsi="Garamond"/>
          <w:i/>
          <w:iCs/>
        </w:rPr>
        <w:t>virtuous</w:t>
      </w:r>
      <w:r>
        <w:rPr>
          <w:rFonts w:ascii="Garamond" w:hAnsi="Garamond"/>
        </w:rPr>
        <w:t xml:space="preserve">. </w:t>
      </w:r>
    </w:p>
    <w:p w14:paraId="11F9BF8A" w14:textId="77777777" w:rsidR="00871AD2" w:rsidRDefault="00871AD2" w:rsidP="00871AD2">
      <w:pPr>
        <w:spacing w:line="480" w:lineRule="auto"/>
        <w:rPr>
          <w:rFonts w:ascii="Garamond" w:hAnsi="Garamond"/>
        </w:rPr>
      </w:pPr>
    </w:p>
    <w:p w14:paraId="3535DB9D" w14:textId="77777777" w:rsidR="00871AD2" w:rsidRDefault="00871AD2" w:rsidP="00871AD2">
      <w:pPr>
        <w:spacing w:line="480" w:lineRule="auto"/>
        <w:rPr>
          <w:rFonts w:ascii="Garamond" w:hAnsi="Garamond"/>
        </w:rPr>
      </w:pPr>
      <w:r>
        <w:rPr>
          <w:rFonts w:ascii="Garamond" w:hAnsi="Garamond"/>
        </w:rPr>
        <w:t>It is this third strategy, I suggest, that helps account for at least some of the value-affiliated brand marketing that consumers encounter.</w:t>
      </w:r>
    </w:p>
    <w:p w14:paraId="6E36DEA3" w14:textId="77777777" w:rsidR="00871AD2" w:rsidRDefault="00871AD2" w:rsidP="00871AD2">
      <w:pPr>
        <w:spacing w:line="480" w:lineRule="auto"/>
        <w:rPr>
          <w:rFonts w:ascii="Garamond" w:hAnsi="Garamond"/>
        </w:rPr>
      </w:pPr>
    </w:p>
    <w:p w14:paraId="4A0813CB" w14:textId="77777777" w:rsidR="00871AD2" w:rsidRPr="007160D2" w:rsidRDefault="00871AD2" w:rsidP="00871AD2">
      <w:pPr>
        <w:spacing w:line="480" w:lineRule="auto"/>
        <w:jc w:val="center"/>
        <w:rPr>
          <w:rFonts w:ascii="Garamond" w:hAnsi="Garamond"/>
          <w:b/>
          <w:bCs/>
        </w:rPr>
      </w:pPr>
      <w:r w:rsidRPr="007160D2">
        <w:rPr>
          <w:rFonts w:ascii="Garamond" w:hAnsi="Garamond"/>
          <w:b/>
          <w:bCs/>
        </w:rPr>
        <w:t>Gay Pride Skittles</w:t>
      </w:r>
    </w:p>
    <w:p w14:paraId="32EC20E6" w14:textId="77777777" w:rsidR="00871AD2" w:rsidRDefault="00871AD2" w:rsidP="00871AD2">
      <w:pPr>
        <w:spacing w:line="480" w:lineRule="auto"/>
        <w:rPr>
          <w:rFonts w:ascii="Garamond" w:hAnsi="Garamond"/>
        </w:rPr>
      </w:pPr>
      <w:r>
        <w:rPr>
          <w:rFonts w:ascii="Garamond" w:hAnsi="Garamond"/>
        </w:rPr>
        <w:t xml:space="preserve">Were employees of Mars Wrigley engaged in “woke washing” or disingenuous “woke signalling” when they affiliated Skittles with gay pride month? It is certainly </w:t>
      </w:r>
      <w:r>
        <w:rPr>
          <w:rFonts w:ascii="Garamond" w:hAnsi="Garamond"/>
          <w:i/>
          <w:iCs/>
        </w:rPr>
        <w:t>possible</w:t>
      </w:r>
      <w:r>
        <w:rPr>
          <w:rFonts w:ascii="Garamond" w:hAnsi="Garamond"/>
        </w:rPr>
        <w:t xml:space="preserve">, and this may indeed have played </w:t>
      </w:r>
      <w:r>
        <w:rPr>
          <w:rFonts w:ascii="Garamond" w:hAnsi="Garamond"/>
          <w:i/>
          <w:iCs/>
        </w:rPr>
        <w:t>some</w:t>
      </w:r>
      <w:r>
        <w:rPr>
          <w:rFonts w:ascii="Garamond" w:hAnsi="Garamond"/>
        </w:rPr>
        <w:t xml:space="preserve"> role in the temporary brand repackaging. But it also seems plausible that employees on the Skittles marketing team saw an opportunity to do </w:t>
      </w:r>
      <w:r w:rsidRPr="00E04ACB">
        <w:rPr>
          <w:rFonts w:ascii="Garamond" w:hAnsi="Garamond"/>
          <w:i/>
          <w:iCs/>
        </w:rPr>
        <w:t>more</w:t>
      </w:r>
      <w:r>
        <w:rPr>
          <w:rFonts w:ascii="Garamond" w:hAnsi="Garamond"/>
        </w:rPr>
        <w:t xml:space="preserve"> </w:t>
      </w:r>
      <w:r w:rsidRPr="0005793F">
        <w:rPr>
          <w:rFonts w:ascii="Garamond" w:hAnsi="Garamond"/>
          <w:i/>
          <w:iCs/>
        </w:rPr>
        <w:t>than</w:t>
      </w:r>
      <w:r>
        <w:rPr>
          <w:rFonts w:ascii="Garamond" w:hAnsi="Garamond"/>
        </w:rPr>
        <w:t xml:space="preserve"> </w:t>
      </w:r>
      <w:r w:rsidRPr="0005793F">
        <w:rPr>
          <w:rFonts w:ascii="Garamond" w:hAnsi="Garamond"/>
          <w:i/>
          <w:iCs/>
        </w:rPr>
        <w:t>just sell Skittles</w:t>
      </w:r>
      <w:r>
        <w:rPr>
          <w:rFonts w:ascii="Garamond" w:hAnsi="Garamond"/>
        </w:rPr>
        <w:t xml:space="preserve">. This was likely to have enhanced feelings of not just job, but life, satisfaction. We need not posit an especially elaborate moral psychology to suppose that people feel better when they conceive of their work as consisting not only of making money through selling teeth-rotting, obesity-inducing junk to children, but as </w:t>
      </w:r>
      <w:r>
        <w:rPr>
          <w:rFonts w:ascii="Garamond" w:hAnsi="Garamond"/>
          <w:i/>
          <w:iCs/>
        </w:rPr>
        <w:t>enhancing social value</w:t>
      </w:r>
      <w:r>
        <w:rPr>
          <w:rFonts w:ascii="Garamond" w:hAnsi="Garamond"/>
        </w:rPr>
        <w:t xml:space="preserve">. Insofar as </w:t>
      </w:r>
      <w:proofErr w:type="gramStart"/>
      <w:r>
        <w:rPr>
          <w:rFonts w:ascii="Garamond" w:hAnsi="Garamond"/>
        </w:rPr>
        <w:t>a sufficient number of</w:t>
      </w:r>
      <w:proofErr w:type="gramEnd"/>
      <w:r>
        <w:rPr>
          <w:rFonts w:ascii="Garamond" w:hAnsi="Garamond"/>
        </w:rPr>
        <w:t xml:space="preserve"> decision-making marketing employees were personally aligned with “progressive” values regarding gay rights, then the opportunity to engage in marketing which promoted gay rights would appear a natural fit. Importantly, we need not suppose that marketing employees deliberately set out to sooth (launder?) their moral consciences by affiliating Skittles with gay rights. Indeed, if they </w:t>
      </w:r>
      <w:r w:rsidRPr="0005793F">
        <w:rPr>
          <w:rFonts w:ascii="Garamond" w:hAnsi="Garamond"/>
          <w:i/>
          <w:iCs/>
        </w:rPr>
        <w:t>had</w:t>
      </w:r>
      <w:r>
        <w:rPr>
          <w:rFonts w:ascii="Garamond" w:hAnsi="Garamond"/>
        </w:rPr>
        <w:t xml:space="preserve"> deliberately set out to do this, they wouldn’t have succeeded. The functional relationship here must be </w:t>
      </w:r>
      <w:r w:rsidRPr="00E04ACB">
        <w:rPr>
          <w:rFonts w:ascii="Garamond" w:hAnsi="Garamond"/>
          <w:i/>
          <w:iCs/>
        </w:rPr>
        <w:t>self-effacing</w:t>
      </w:r>
      <w:r>
        <w:rPr>
          <w:rFonts w:ascii="Garamond" w:hAnsi="Garamond"/>
        </w:rPr>
        <w:t xml:space="preserve"> for it to work.</w:t>
      </w:r>
      <w:r>
        <w:rPr>
          <w:rStyle w:val="EndnoteReference"/>
          <w:rFonts w:ascii="Garamond" w:hAnsi="Garamond"/>
        </w:rPr>
        <w:endnoteReference w:id="35"/>
      </w:r>
      <w:r>
        <w:rPr>
          <w:rFonts w:ascii="Garamond" w:hAnsi="Garamond"/>
        </w:rPr>
        <w:t xml:space="preserve"> Affiliating a brand with values cannot properly soothe one’s moral conscience if one is affiliating the brand with values </w:t>
      </w:r>
      <w:proofErr w:type="gramStart"/>
      <w:r w:rsidRPr="00E04ACB">
        <w:rPr>
          <w:rFonts w:ascii="Garamond" w:hAnsi="Garamond"/>
          <w:i/>
          <w:iCs/>
        </w:rPr>
        <w:t>in</w:t>
      </w:r>
      <w:r>
        <w:rPr>
          <w:rFonts w:ascii="Garamond" w:hAnsi="Garamond"/>
        </w:rPr>
        <w:t xml:space="preserve"> </w:t>
      </w:r>
      <w:r w:rsidRPr="00E04ACB">
        <w:rPr>
          <w:rFonts w:ascii="Garamond" w:hAnsi="Garamond"/>
          <w:i/>
          <w:iCs/>
        </w:rPr>
        <w:t>order</w:t>
      </w:r>
      <w:r>
        <w:rPr>
          <w:rFonts w:ascii="Garamond" w:hAnsi="Garamond"/>
        </w:rPr>
        <w:t xml:space="preserve"> to</w:t>
      </w:r>
      <w:proofErr w:type="gramEnd"/>
      <w:r>
        <w:rPr>
          <w:rFonts w:ascii="Garamond" w:hAnsi="Garamond"/>
        </w:rPr>
        <w:t xml:space="preserve"> soothe one’s moral conscience. Instead, employees must genuinely believe that they are doing something morally virtuous, for its own sake. Hence, to that extent they </w:t>
      </w:r>
      <w:r>
        <w:rPr>
          <w:rFonts w:ascii="Garamond" w:hAnsi="Garamond"/>
          <w:i/>
          <w:iCs/>
        </w:rPr>
        <w:t>cannot</w:t>
      </w:r>
      <w:r>
        <w:rPr>
          <w:rFonts w:ascii="Garamond" w:hAnsi="Garamond"/>
          <w:b/>
          <w:bCs/>
          <w:i/>
          <w:iCs/>
        </w:rPr>
        <w:t xml:space="preserve"> </w:t>
      </w:r>
      <w:r>
        <w:rPr>
          <w:rFonts w:ascii="Garamond" w:hAnsi="Garamond"/>
        </w:rPr>
        <w:t>be engaged in the straightforward instantiation of “washing”, or (disingenuous) “signalling”, by definition.</w:t>
      </w:r>
      <w:r>
        <w:rPr>
          <w:rStyle w:val="EndnoteReference"/>
          <w:rFonts w:ascii="Garamond" w:hAnsi="Garamond"/>
        </w:rPr>
        <w:endnoteReference w:id="36"/>
      </w:r>
      <w:r>
        <w:rPr>
          <w:rFonts w:ascii="Garamond" w:hAnsi="Garamond"/>
        </w:rPr>
        <w:t xml:space="preserve"> </w:t>
      </w:r>
    </w:p>
    <w:p w14:paraId="27B6DC57" w14:textId="77777777" w:rsidR="00871AD2" w:rsidRDefault="00871AD2" w:rsidP="00871AD2">
      <w:pPr>
        <w:spacing w:line="480" w:lineRule="auto"/>
        <w:ind w:firstLine="720"/>
        <w:rPr>
          <w:rFonts w:ascii="Garamond" w:hAnsi="Garamond"/>
        </w:rPr>
      </w:pPr>
      <w:r>
        <w:rPr>
          <w:rFonts w:ascii="Garamond" w:hAnsi="Garamond"/>
        </w:rPr>
        <w:lastRenderedPageBreak/>
        <w:t xml:space="preserve">This, at the very least, seems a plausible conjecture (or so I contend). However, the extent to which this kind of dynamic obtains in practice – and is significant in securing a particular outcome with regards brand value affiliation – will vary on a case-by-case </w:t>
      </w:r>
      <w:proofErr w:type="gramStart"/>
      <w:r>
        <w:rPr>
          <w:rFonts w:ascii="Garamond" w:hAnsi="Garamond"/>
        </w:rPr>
        <w:t>basis, and</w:t>
      </w:r>
      <w:proofErr w:type="gramEnd"/>
      <w:r>
        <w:rPr>
          <w:rFonts w:ascii="Garamond" w:hAnsi="Garamond"/>
        </w:rPr>
        <w:t xml:space="preserve"> will require empirical verification to ascertain. In doing so, myriad factors will be in play that vary across different corporations: internal pressures emanating from the dominant culture in a marketing team relative to other aspects of corporate management; HR culture and </w:t>
      </w:r>
      <w:proofErr w:type="spellStart"/>
      <w:r>
        <w:rPr>
          <w:rFonts w:ascii="Garamond" w:hAnsi="Garamond"/>
        </w:rPr>
        <w:t>it’s</w:t>
      </w:r>
      <w:proofErr w:type="spellEnd"/>
      <w:r>
        <w:rPr>
          <w:rFonts w:ascii="Garamond" w:hAnsi="Garamond"/>
        </w:rPr>
        <w:t xml:space="preserve"> influence on expected employee comportment; responses to incentives as modulated through both legal statutes and the direction of senior boardroom staff – and so forth. </w:t>
      </w:r>
    </w:p>
    <w:p w14:paraId="2D2FC5B5" w14:textId="77777777" w:rsidR="00871AD2" w:rsidRPr="009B0CA7" w:rsidRDefault="00871AD2" w:rsidP="00871AD2">
      <w:pPr>
        <w:spacing w:line="480" w:lineRule="auto"/>
        <w:ind w:firstLine="720"/>
        <w:rPr>
          <w:rFonts w:ascii="Garamond" w:hAnsi="Garamond"/>
        </w:rPr>
      </w:pPr>
      <w:r>
        <w:rPr>
          <w:rFonts w:ascii="Garamond" w:hAnsi="Garamond"/>
        </w:rPr>
        <w:t>An instructive case here is that of Bud Light and the enormous backlash it triggered after partnering with Dylan Mulvaney. For it turns out that rather than being part of a thoroughly planned and thought-through media strategy, the partnership was an extremely minor piece of social media engagement, effectively thought up by a single employee described by another as “</w:t>
      </w:r>
      <w:r w:rsidRPr="009B0CA7">
        <w:rPr>
          <w:rFonts w:ascii="Garamond" w:hAnsi="Garamond"/>
        </w:rPr>
        <w:t>want</w:t>
      </w:r>
      <w:r>
        <w:rPr>
          <w:rFonts w:ascii="Garamond" w:hAnsi="Garamond"/>
        </w:rPr>
        <w:t>[</w:t>
      </w:r>
      <w:proofErr w:type="spellStart"/>
      <w:r>
        <w:rPr>
          <w:rFonts w:ascii="Garamond" w:hAnsi="Garamond"/>
        </w:rPr>
        <w:t>ing</w:t>
      </w:r>
      <w:proofErr w:type="spellEnd"/>
      <w:r>
        <w:rPr>
          <w:rFonts w:ascii="Garamond" w:hAnsi="Garamond"/>
        </w:rPr>
        <w:t>]</w:t>
      </w:r>
      <w:r w:rsidRPr="009B0CA7">
        <w:rPr>
          <w:rFonts w:ascii="Garamond" w:hAnsi="Garamond"/>
        </w:rPr>
        <w:t xml:space="preserve"> to push and make change”</w:t>
      </w:r>
      <w:r>
        <w:rPr>
          <w:rFonts w:ascii="Garamond" w:hAnsi="Garamond"/>
        </w:rPr>
        <w:t xml:space="preserve"> and </w:t>
      </w:r>
      <w:r w:rsidRPr="009B0CA7">
        <w:rPr>
          <w:rFonts w:ascii="Garamond" w:hAnsi="Garamond"/>
        </w:rPr>
        <w:t>“slowly but surely plant the seeds of inclusion”.</w:t>
      </w:r>
      <w:r>
        <w:rPr>
          <w:rFonts w:ascii="Garamond" w:hAnsi="Garamond"/>
        </w:rPr>
        <w:t xml:space="preserve"> Yet this employee’s actions themselves took place in the context of newly promoted vice-president of marketing, </w:t>
      </w:r>
      <w:r w:rsidRPr="009B0CA7">
        <w:rPr>
          <w:rFonts w:ascii="Garamond" w:hAnsi="Garamond"/>
        </w:rPr>
        <w:t>Alissa Heinerscheid</w:t>
      </w:r>
      <w:r>
        <w:rPr>
          <w:rFonts w:ascii="Garamond" w:hAnsi="Garamond"/>
        </w:rPr>
        <w:t xml:space="preserve">, having given a podcast interview earlier in the year stating that </w:t>
      </w:r>
      <w:r w:rsidRPr="009B0CA7">
        <w:rPr>
          <w:rFonts w:ascii="Garamond" w:hAnsi="Garamond"/>
        </w:rPr>
        <w:t>“I had a really clear job to do when I took over Bud Light, and it was: ‘This brand is in decline, it’s been in a decline for a really long time, and if we do not attract young drinkers to come and drink this brand, there will be no future for Bud Light’</w:t>
      </w:r>
      <w:r>
        <w:rPr>
          <w:rFonts w:ascii="Garamond" w:hAnsi="Garamond"/>
        </w:rPr>
        <w:t>.</w:t>
      </w:r>
      <w:r w:rsidRPr="009B0CA7">
        <w:rPr>
          <w:rFonts w:ascii="Garamond" w:hAnsi="Garamond"/>
        </w:rPr>
        <w:t>”</w:t>
      </w:r>
      <w:r>
        <w:rPr>
          <w:rStyle w:val="EndnoteReference"/>
          <w:rFonts w:ascii="Garamond" w:hAnsi="Garamond"/>
        </w:rPr>
        <w:endnoteReference w:id="37"/>
      </w:r>
      <w:r>
        <w:rPr>
          <w:rFonts w:ascii="Garamond" w:hAnsi="Garamond"/>
        </w:rPr>
        <w:t xml:space="preserve"> To be sure, an effort to attract “young drinkers” by partnering with a trans influencer turned out to be severely misguided given the furious reaction it provoked amongst conservatives. But that was itself not as predictable as hindsight can make it seem. The partnership that provoked the backlash was the </w:t>
      </w:r>
      <w:r w:rsidRPr="00F30D29">
        <w:rPr>
          <w:rFonts w:ascii="Garamond" w:hAnsi="Garamond"/>
          <w:i/>
          <w:iCs/>
        </w:rPr>
        <w:t>second</w:t>
      </w:r>
      <w:r>
        <w:rPr>
          <w:rFonts w:ascii="Garamond" w:hAnsi="Garamond"/>
        </w:rPr>
        <w:t xml:space="preserve"> social media collaboration undertaken between Bud Light and Mulvaney. The first, six weeks earlier, went largely unnoticed. Consumer backlash first needed to be instigated by right wing political actors, keen to enflame their support base as part of an ongoing American culture war, to become the brand-disaster phenomenon it indeed became. </w:t>
      </w:r>
    </w:p>
    <w:p w14:paraId="1CC06AE7" w14:textId="77777777" w:rsidR="00871AD2" w:rsidRDefault="00871AD2" w:rsidP="00871AD2">
      <w:pPr>
        <w:spacing w:line="480" w:lineRule="auto"/>
        <w:ind w:firstLine="720"/>
        <w:rPr>
          <w:rFonts w:ascii="Garamond" w:hAnsi="Garamond"/>
        </w:rPr>
      </w:pPr>
      <w:r>
        <w:rPr>
          <w:rFonts w:ascii="Garamond" w:hAnsi="Garamond"/>
        </w:rPr>
        <w:lastRenderedPageBreak/>
        <w:t xml:space="preserve">One lesson to draw here is that the extent to which strategies of compensation manifest in practice cannot be specified in advance by conceptual analysis alone: we will need to consult the empirical record on a case-by-case basis for confirmation. However, one thing that the Bud Light example helps to account for is why corporations may sometimes get their brand affiliation strategies spectacularly wrong. Had the marketing division of Bud Light as a whole been properly responsive to the value affiliations of its majority customer base, they might have better spotted in advance that affiliating Bud Light with a transgender influencer was not a smart move, and the employee who thought that this might be a smart move would accordingly have been prevented from doing so by others (assuming proper oversight of employee decisions was in operation). Indeed, had the marketing team been </w:t>
      </w:r>
      <w:r>
        <w:rPr>
          <w:rFonts w:ascii="Garamond" w:hAnsi="Garamond"/>
          <w:i/>
          <w:iCs/>
        </w:rPr>
        <w:t xml:space="preserve">more </w:t>
      </w:r>
      <w:r>
        <w:rPr>
          <w:rFonts w:ascii="Garamond" w:hAnsi="Garamond"/>
        </w:rPr>
        <w:t xml:space="preserve">single-mindedly focused on maximising profit, they would have realised that pushing transgender-inclusive values was a bad marketing strategy given the generally socially conservative orientation of Bud Light drinkers at a time of growing hostility towards the trans movement amongst that demographic. Accordingly, this might have been effectively prioritised over the moral aspirations of the employee who pushed the partnership. What kept the wider Bud Light marketing team from realising this before scoring the most spectacular of own goals? The most plausible explanation is </w:t>
      </w:r>
      <w:r w:rsidRPr="00037978">
        <w:rPr>
          <w:rFonts w:ascii="Garamond" w:hAnsi="Garamond"/>
          <w:i/>
          <w:iCs/>
        </w:rPr>
        <w:t>not</w:t>
      </w:r>
      <w:r>
        <w:rPr>
          <w:rFonts w:ascii="Garamond" w:hAnsi="Garamond"/>
        </w:rPr>
        <w:t xml:space="preserve"> that they cynically set out to try and manipulate their customer base through conscious woke-washing or (disingenuous) woke-signalling. (A clear-sighted appraisal of their customer base would have quickly ruled this out </w:t>
      </w:r>
      <w:r w:rsidRPr="0005793F">
        <w:rPr>
          <w:rFonts w:ascii="Garamond" w:hAnsi="Garamond"/>
          <w:i/>
          <w:iCs/>
        </w:rPr>
        <w:t>as a profitable strategy</w:t>
      </w:r>
      <w:r>
        <w:rPr>
          <w:rFonts w:ascii="Garamond" w:hAnsi="Garamond"/>
        </w:rPr>
        <w:t xml:space="preserve">.) More likely is that the employee behind this move focused excessively on aligning the brand with his or her own “progressive” social values, to the extent that they forgot who they were principally selling beer to, and this behaviour was not corrected in time by relevant colleagues. To that extent, insofar as the employee was engaged in woke branding, they were attempting to service their own personal moral conscience rather than the image of the brand as held by customers. The performance was not for consumers, but for (some of, perhaps even just one of) </w:t>
      </w:r>
      <w:r w:rsidRPr="006A71E8">
        <w:rPr>
          <w:rFonts w:ascii="Garamond" w:hAnsi="Garamond"/>
          <w:i/>
          <w:iCs/>
        </w:rPr>
        <w:t>the</w:t>
      </w:r>
      <w:r>
        <w:rPr>
          <w:rFonts w:ascii="Garamond" w:hAnsi="Garamond"/>
        </w:rPr>
        <w:t xml:space="preserve"> </w:t>
      </w:r>
      <w:r w:rsidRPr="006A71E8">
        <w:rPr>
          <w:rFonts w:ascii="Garamond" w:hAnsi="Garamond"/>
          <w:i/>
          <w:iCs/>
        </w:rPr>
        <w:t>employees</w:t>
      </w:r>
      <w:r>
        <w:rPr>
          <w:rFonts w:ascii="Garamond" w:hAnsi="Garamond"/>
        </w:rPr>
        <w:t>. But if something like that explanatory story is indeed right, it requires recourse to factors well beyond the Cynical Take.</w:t>
      </w:r>
    </w:p>
    <w:p w14:paraId="1CD1D199" w14:textId="77777777" w:rsidR="00871AD2" w:rsidRDefault="00871AD2" w:rsidP="00871AD2">
      <w:pPr>
        <w:spacing w:line="480" w:lineRule="auto"/>
        <w:ind w:firstLine="720"/>
        <w:rPr>
          <w:rFonts w:ascii="Garamond" w:hAnsi="Garamond"/>
        </w:rPr>
      </w:pPr>
      <w:r>
        <w:rPr>
          <w:rFonts w:ascii="Garamond" w:hAnsi="Garamond"/>
        </w:rPr>
        <w:lastRenderedPageBreak/>
        <w:t xml:space="preserve">Furthermore, there is the fact that consumers now apparently interpret </w:t>
      </w:r>
      <w:r w:rsidRPr="003B473E">
        <w:rPr>
          <w:rFonts w:ascii="Garamond" w:hAnsi="Garamond"/>
          <w:i/>
          <w:iCs/>
        </w:rPr>
        <w:t>all</w:t>
      </w:r>
      <w:r>
        <w:rPr>
          <w:rFonts w:ascii="Garamond" w:hAnsi="Garamond"/>
        </w:rPr>
        <w:t xml:space="preserve"> woke branding as </w:t>
      </w:r>
      <w:r w:rsidRPr="003B473E">
        <w:rPr>
          <w:rFonts w:ascii="Garamond" w:hAnsi="Garamond"/>
          <w:i/>
          <w:iCs/>
        </w:rPr>
        <w:t>necessarily</w:t>
      </w:r>
      <w:r>
        <w:rPr>
          <w:rFonts w:ascii="Garamond" w:hAnsi="Garamond"/>
        </w:rPr>
        <w:t xml:space="preserve"> disingenuous.</w:t>
      </w:r>
      <w:r>
        <w:rPr>
          <w:rStyle w:val="EndnoteReference"/>
          <w:rFonts w:ascii="Garamond" w:hAnsi="Garamond"/>
        </w:rPr>
        <w:endnoteReference w:id="38"/>
      </w:r>
      <w:r>
        <w:rPr>
          <w:rFonts w:ascii="Garamond" w:hAnsi="Garamond"/>
        </w:rPr>
        <w:t xml:space="preserve"> Recall that woke “washing” and (disingenuous) “signalling” arise because of a mismatch between the value affiliated with a brand, and the motivating reasons why this </w:t>
      </w:r>
      <w:proofErr w:type="gramStart"/>
      <w:r>
        <w:rPr>
          <w:rFonts w:ascii="Garamond" w:hAnsi="Garamond"/>
        </w:rPr>
        <w:t>particular affiliation</w:t>
      </w:r>
      <w:proofErr w:type="gramEnd"/>
      <w:r>
        <w:rPr>
          <w:rFonts w:ascii="Garamond" w:hAnsi="Garamond"/>
        </w:rPr>
        <w:t xml:space="preserve"> has been presented. In ordinary cases, the mismatch comes from the motivating reason being profit, rather than a genuine regard for the advertised value(s), such as in the Dove “Campaign for Real Beauty” noted above. But in cases of what I am calling compensation, the mismatch comes from the motivating reason being employees trying to present their brand as engaged in an act of virtue, not for the sake (ultimately) of that virtue itself, but to sooth their own consciences – whilst perhaps </w:t>
      </w:r>
      <w:r w:rsidRPr="002D3243">
        <w:rPr>
          <w:rFonts w:ascii="Garamond" w:hAnsi="Garamond"/>
        </w:rPr>
        <w:t>also</w:t>
      </w:r>
      <w:r>
        <w:rPr>
          <w:rFonts w:ascii="Garamond" w:hAnsi="Garamond"/>
          <w:i/>
          <w:iCs/>
        </w:rPr>
        <w:t xml:space="preserve"> </w:t>
      </w:r>
      <w:r>
        <w:rPr>
          <w:rFonts w:ascii="Garamond" w:hAnsi="Garamond"/>
        </w:rPr>
        <w:t>being perceived by consumers as trying to foist normatively contested views upon those who disagree deeply about the matter in question (as appears to have been the driving issue in the Bud Light fiasco). Hence it is perhaps no surprise that consumers typically react to all perceived instances of “woke” branding as woke-washing and/or woke-signalling, reacting with hostility accordingly – meaning that it is generally just a bad marketing strategy to promote “woke” values at all.</w:t>
      </w:r>
      <w:r>
        <w:rPr>
          <w:rStyle w:val="EndnoteReference"/>
          <w:rFonts w:ascii="Garamond" w:hAnsi="Garamond"/>
        </w:rPr>
        <w:endnoteReference w:id="39"/>
      </w:r>
      <w:r>
        <w:rPr>
          <w:rFonts w:ascii="Garamond" w:hAnsi="Garamond"/>
        </w:rPr>
        <w:t xml:space="preserve"> To the extent that such branding nonetheless continues, this is evidence that the motivations of implicated marketing teams, or at least some of their members, have become importantly misaligned with the fundamental purpose of marketing.</w:t>
      </w:r>
    </w:p>
    <w:p w14:paraId="38629E78" w14:textId="77777777" w:rsidR="00871AD2" w:rsidRDefault="00871AD2" w:rsidP="00871AD2">
      <w:pPr>
        <w:spacing w:line="480" w:lineRule="auto"/>
        <w:ind w:firstLine="720"/>
        <w:rPr>
          <w:rFonts w:ascii="Garamond" w:hAnsi="Garamond"/>
        </w:rPr>
      </w:pPr>
      <w:r>
        <w:rPr>
          <w:rFonts w:ascii="Garamond" w:hAnsi="Garamond"/>
        </w:rPr>
        <w:t>To be sure, not all instances of either “washing” or “signalling” are amenable to such explanation. Sometimes the Cynical Take is just correct. Pepsi’s cringeworthy attempt to jump on the Black Lives Matter protest bandwagon in 2017, by fronting a commercial with Kendal Jenner leading various street demonstrations alongside a cast of mixed races, does not appear explicable through any other lens. But the Cynical Take is not all that there is to say in this area. While it makes a good basis for an effective stand-up comedy routine, it does not do justice to the complex ethical landscape that we inhabit.</w:t>
      </w:r>
    </w:p>
    <w:p w14:paraId="3A662ACD" w14:textId="77777777" w:rsidR="00871AD2" w:rsidRDefault="00871AD2" w:rsidP="00871AD2">
      <w:pPr>
        <w:spacing w:line="480" w:lineRule="auto"/>
        <w:rPr>
          <w:rFonts w:ascii="Garamond" w:hAnsi="Garamond"/>
        </w:rPr>
      </w:pPr>
    </w:p>
    <w:p w14:paraId="7C84BFB4" w14:textId="77777777" w:rsidR="00871AD2" w:rsidRPr="001979D6" w:rsidRDefault="00871AD2" w:rsidP="00871AD2">
      <w:pPr>
        <w:spacing w:line="480" w:lineRule="auto"/>
        <w:jc w:val="center"/>
        <w:rPr>
          <w:rFonts w:ascii="Garamond" w:hAnsi="Garamond"/>
        </w:rPr>
      </w:pPr>
      <w:r>
        <w:rPr>
          <w:rFonts w:ascii="Garamond" w:hAnsi="Garamond"/>
          <w:b/>
          <w:bCs/>
        </w:rPr>
        <w:t>Conclusion</w:t>
      </w:r>
    </w:p>
    <w:p w14:paraId="3B2A382D" w14:textId="77777777" w:rsidR="002C3788" w:rsidRDefault="00871AD2" w:rsidP="00871AD2">
      <w:pPr>
        <w:spacing w:line="480" w:lineRule="auto"/>
        <w:rPr>
          <w:rFonts w:ascii="Garamond" w:hAnsi="Garamond"/>
        </w:rPr>
      </w:pPr>
      <w:r>
        <w:rPr>
          <w:rFonts w:ascii="Garamond" w:hAnsi="Garamond"/>
        </w:rPr>
        <w:lastRenderedPageBreak/>
        <w:t xml:space="preserve">Profit-seeking corporations mess with our intuitions. Being a ubiquitous part of our lives under consumer capitalism, they mess with our intuitions on pretty much a daily basis. Through their brands, they tell us that they have values. Sometimes, they are trying to manipulate us. But sometimes, they are responding to our demand that they </w:t>
      </w:r>
      <w:r w:rsidRPr="00C0500F">
        <w:rPr>
          <w:rFonts w:ascii="Garamond" w:hAnsi="Garamond"/>
          <w:i/>
          <w:iCs/>
        </w:rPr>
        <w:t>have</w:t>
      </w:r>
      <w:r>
        <w:rPr>
          <w:rFonts w:ascii="Garamond" w:hAnsi="Garamond"/>
        </w:rPr>
        <w:t xml:space="preserve"> values. Yet we also demand that such values be </w:t>
      </w:r>
      <w:r w:rsidRPr="007330D5">
        <w:rPr>
          <w:rFonts w:ascii="Garamond" w:hAnsi="Garamond"/>
          <w:i/>
          <w:iCs/>
        </w:rPr>
        <w:t>authentic</w:t>
      </w:r>
      <w:r>
        <w:rPr>
          <w:rFonts w:ascii="Garamond" w:hAnsi="Garamond"/>
        </w:rPr>
        <w:t>, punishing those perceived as not. At other times, corporations are using their brands to talk not so much to us, but to themselves (or at least to some sub-set of their employees). It can be very confusing. But that is the world we live in. Messy, complicated</w:t>
      </w:r>
      <w:r w:rsidR="002C3788">
        <w:rPr>
          <w:rFonts w:ascii="Garamond" w:hAnsi="Garamond"/>
        </w:rPr>
        <w:t>,</w:t>
      </w:r>
      <w:r>
        <w:rPr>
          <w:rFonts w:ascii="Garamond" w:hAnsi="Garamond"/>
        </w:rPr>
        <w:t xml:space="preserve"> and requiring more than cynicism to try and understand.</w:t>
      </w:r>
      <w:r w:rsidR="002C3788">
        <w:rPr>
          <w:rFonts w:ascii="Garamond" w:hAnsi="Garamond"/>
        </w:rPr>
        <w:t xml:space="preserve"> </w:t>
      </w:r>
    </w:p>
    <w:p w14:paraId="0BBB564D" w14:textId="21987285" w:rsidR="00871AD2" w:rsidRPr="002C3788" w:rsidRDefault="002C3788" w:rsidP="002C3788">
      <w:pPr>
        <w:spacing w:line="480" w:lineRule="auto"/>
        <w:ind w:firstLine="720"/>
        <w:rPr>
          <w:rFonts w:ascii="Garamond" w:hAnsi="Garamond"/>
        </w:rPr>
      </w:pPr>
      <w:r>
        <w:rPr>
          <w:rFonts w:ascii="Garamond" w:hAnsi="Garamond"/>
        </w:rPr>
        <w:t xml:space="preserve">Which may well strike the reader as normatively underwhelming (an anonymous reviewer for this journal certainly found it so). To which I can only reply: sometimes the world </w:t>
      </w:r>
      <w:r w:rsidRPr="002C3788">
        <w:rPr>
          <w:rFonts w:ascii="Garamond" w:hAnsi="Garamond"/>
          <w:i/>
          <w:iCs/>
        </w:rPr>
        <w:t>just</w:t>
      </w:r>
      <w:r>
        <w:rPr>
          <w:rFonts w:ascii="Garamond" w:hAnsi="Garamond"/>
        </w:rPr>
        <w:t xml:space="preserve"> </w:t>
      </w:r>
      <w:r w:rsidRPr="002C3788">
        <w:rPr>
          <w:rFonts w:ascii="Garamond" w:hAnsi="Garamond"/>
          <w:i/>
          <w:iCs/>
        </w:rPr>
        <w:t>is</w:t>
      </w:r>
      <w:r>
        <w:rPr>
          <w:rFonts w:ascii="Garamond" w:hAnsi="Garamond"/>
        </w:rPr>
        <w:t xml:space="preserve"> normatively underwhelming. Of course, most moral philosophers working today take it to be incumbent upon themselves to somehow rectify any such discovery: to propose, for example, whether the compensation dynamics considered above ought to be welcomed, regretted, regulated, ignored, and so forth. By contrast, I think this oversteps the mark of what an appropriately modest – an appropriately </w:t>
      </w:r>
      <w:proofErr w:type="spellStart"/>
      <w:r>
        <w:rPr>
          <w:rFonts w:ascii="Garamond" w:hAnsi="Garamond"/>
          <w:i/>
          <w:iCs/>
        </w:rPr>
        <w:t>skeptical</w:t>
      </w:r>
      <w:proofErr w:type="spellEnd"/>
      <w:r>
        <w:rPr>
          <w:rFonts w:ascii="Garamond" w:hAnsi="Garamond"/>
        </w:rPr>
        <w:t xml:space="preserve"> – philosopher ought to aim for. But that is an argument for another day.</w:t>
      </w:r>
    </w:p>
    <w:p w14:paraId="2CEA8FD5" w14:textId="090A6BCC" w:rsidR="00871AD2" w:rsidRPr="006A71E8" w:rsidRDefault="00871AD2" w:rsidP="00871AD2">
      <w:pPr>
        <w:spacing w:line="480" w:lineRule="auto"/>
        <w:ind w:firstLine="720"/>
        <w:rPr>
          <w:rFonts w:ascii="Garamond" w:hAnsi="Garamond"/>
        </w:rPr>
      </w:pPr>
    </w:p>
    <w:p w14:paraId="3D9C9946" w14:textId="77777777" w:rsidR="00871AD2" w:rsidRPr="00475874" w:rsidRDefault="00871AD2" w:rsidP="00871AD2">
      <w:pPr>
        <w:spacing w:line="480" w:lineRule="auto"/>
        <w:rPr>
          <w:rFonts w:ascii="Garamond" w:hAnsi="Garamond"/>
        </w:rPr>
      </w:pPr>
    </w:p>
    <w:p w14:paraId="3BB0E36E" w14:textId="77777777" w:rsidR="00871AD2" w:rsidRPr="00E04ACB" w:rsidRDefault="00871AD2" w:rsidP="00871AD2">
      <w:pPr>
        <w:spacing w:line="480" w:lineRule="auto"/>
        <w:rPr>
          <w:rFonts w:ascii="Garamond" w:hAnsi="Garamond"/>
        </w:rPr>
      </w:pPr>
    </w:p>
    <w:p w14:paraId="0C11B401" w14:textId="77777777" w:rsidR="00871AD2" w:rsidRPr="00056B1F" w:rsidRDefault="00871AD2" w:rsidP="00871AD2">
      <w:pPr>
        <w:spacing w:line="480" w:lineRule="auto"/>
        <w:rPr>
          <w:rFonts w:ascii="Garamond" w:hAnsi="Garamond"/>
        </w:rPr>
      </w:pPr>
    </w:p>
    <w:p w14:paraId="1E3330F4" w14:textId="4D09B8FC" w:rsidR="00871AD2" w:rsidRPr="00117971" w:rsidRDefault="00871AD2" w:rsidP="00871AD2">
      <w:pPr>
        <w:spacing w:line="480" w:lineRule="auto"/>
        <w:ind w:firstLine="720"/>
        <w:rPr>
          <w:rFonts w:ascii="Garamond" w:hAnsi="Garamond"/>
        </w:rPr>
      </w:pPr>
    </w:p>
    <w:p w14:paraId="2CE9C906" w14:textId="77777777" w:rsidR="00871AD2" w:rsidRPr="00C02304" w:rsidRDefault="00871AD2" w:rsidP="00871AD2">
      <w:pPr>
        <w:spacing w:line="480" w:lineRule="auto"/>
        <w:ind w:firstLine="720"/>
        <w:rPr>
          <w:rFonts w:ascii="Garamond" w:hAnsi="Garamond"/>
        </w:rPr>
      </w:pPr>
    </w:p>
    <w:p w14:paraId="1FD1B07E" w14:textId="77777777" w:rsidR="00871AD2" w:rsidRDefault="00871AD2" w:rsidP="00871AD2"/>
    <w:p w14:paraId="4A6C85EC" w14:textId="77777777" w:rsidR="00231EBF" w:rsidRDefault="00231EBF"/>
    <w:sectPr w:rsidR="00231EBF" w:rsidSect="00625041">
      <w:footerReference w:type="even" r:id="rId10"/>
      <w:footerReference w:type="default" r:id="rId11"/>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B732D" w14:textId="77777777" w:rsidR="00B62D60" w:rsidRDefault="00B62D60" w:rsidP="00871AD2">
      <w:r>
        <w:separator/>
      </w:r>
    </w:p>
  </w:endnote>
  <w:endnote w:type="continuationSeparator" w:id="0">
    <w:p w14:paraId="06818F5E" w14:textId="77777777" w:rsidR="00B62D60" w:rsidRDefault="00B62D60" w:rsidP="00871AD2">
      <w:r>
        <w:continuationSeparator/>
      </w:r>
    </w:p>
  </w:endnote>
  <w:endnote w:id="1">
    <w:p w14:paraId="2FB010B1"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BEC{MacDonald, 2019 #152217@927}</w:instrText>
      </w:r>
      <w:r w:rsidRPr="00871AD2">
        <w:rPr>
          <w:rFonts w:ascii="Garamond" w:hAnsi="Garamond"/>
        </w:rPr>
        <w:fldChar w:fldCharType="separate"/>
      </w:r>
      <w:r w:rsidRPr="00871AD2">
        <w:rPr>
          <w:rFonts w:ascii="Garamond" w:hAnsi="Garamond"/>
        </w:rPr>
        <w:t xml:space="preserve">Chris MacDonald, “Corporate Moral Motivation,” </w:t>
      </w:r>
      <w:r w:rsidRPr="00871AD2">
        <w:rPr>
          <w:rFonts w:ascii="Garamond" w:hAnsi="Garamond"/>
          <w:i/>
        </w:rPr>
        <w:t>The Georgetown Journal of Law and Public Policy</w:t>
      </w:r>
      <w:r w:rsidRPr="00871AD2">
        <w:rPr>
          <w:rFonts w:ascii="Garamond" w:hAnsi="Garamond"/>
        </w:rPr>
        <w:t xml:space="preserve"> 17, no. S (2019), 927.</w:t>
      </w:r>
      <w:r w:rsidRPr="00871AD2">
        <w:rPr>
          <w:rFonts w:ascii="Garamond" w:hAnsi="Garamond"/>
        </w:rPr>
        <w:fldChar w:fldCharType="end"/>
      </w:r>
    </w:p>
  </w:endnote>
  <w:endnote w:id="2">
    <w:p w14:paraId="107D18B1"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BEC{Caruelle, 2025 #292595; Sobande, 2020 #253477; Vredenburg et al., 2020 #234496}</w:instrText>
      </w:r>
      <w:r w:rsidRPr="00871AD2">
        <w:rPr>
          <w:rFonts w:ascii="Garamond" w:hAnsi="Garamond"/>
        </w:rPr>
        <w:fldChar w:fldCharType="separate"/>
      </w:r>
      <w:r w:rsidRPr="00871AD2">
        <w:rPr>
          <w:rFonts w:ascii="Garamond" w:hAnsi="Garamond"/>
        </w:rPr>
        <w:t xml:space="preserve">Delphine Caruelle, “Is Woke Advertising Necessarily Woke-Washing? How Woke Advertising and (Mis)aligned Corporate Practices Influence Perceived Woke-Washing,” </w:t>
      </w:r>
      <w:r w:rsidRPr="00871AD2">
        <w:rPr>
          <w:rFonts w:ascii="Garamond" w:hAnsi="Garamond"/>
          <w:i/>
        </w:rPr>
        <w:t>International Journal of Advertising</w:t>
      </w:r>
      <w:r w:rsidRPr="00871AD2">
        <w:rPr>
          <w:rFonts w:ascii="Garamond" w:hAnsi="Garamond"/>
        </w:rPr>
        <w:t xml:space="preserve"> 44, no. 4 (2025); Francesca Sobande, “Woke-Washing: “Intersectional” Femvertising and Branding “Woke” Bravery,” </w:t>
      </w:r>
      <w:r w:rsidRPr="00871AD2">
        <w:rPr>
          <w:rFonts w:ascii="Garamond" w:hAnsi="Garamond"/>
          <w:i/>
        </w:rPr>
        <w:t>European Journal of Marketing</w:t>
      </w:r>
      <w:r w:rsidRPr="00871AD2">
        <w:rPr>
          <w:rFonts w:ascii="Garamond" w:hAnsi="Garamond"/>
        </w:rPr>
        <w:t xml:space="preserve"> 54, no. 11 (2020); Jessica Vredenburg</w:t>
      </w:r>
      <w:r w:rsidRPr="00871AD2">
        <w:rPr>
          <w:rFonts w:ascii="Garamond" w:hAnsi="Garamond"/>
          <w:i/>
        </w:rPr>
        <w:t>, et al.</w:t>
      </w:r>
      <w:r w:rsidRPr="00871AD2">
        <w:rPr>
          <w:rFonts w:ascii="Garamond" w:hAnsi="Garamond"/>
        </w:rPr>
        <w:t xml:space="preserve">, “Brands Taking a Stand: Authentic Brand Activism or Woke Washing?,” </w:t>
      </w:r>
      <w:r w:rsidRPr="00871AD2">
        <w:rPr>
          <w:rFonts w:ascii="Garamond" w:hAnsi="Garamond"/>
          <w:i/>
        </w:rPr>
        <w:t>Journal of Public Policy &amp; Marketing</w:t>
      </w:r>
      <w:r w:rsidRPr="00871AD2">
        <w:rPr>
          <w:rFonts w:ascii="Garamond" w:hAnsi="Garamond"/>
        </w:rPr>
        <w:t xml:space="preserve"> 39, no. 4 (2020).</w:t>
      </w:r>
      <w:r w:rsidRPr="00871AD2">
        <w:rPr>
          <w:rFonts w:ascii="Garamond" w:hAnsi="Garamond"/>
        </w:rPr>
        <w:fldChar w:fldCharType="end"/>
      </w:r>
    </w:p>
  </w:endnote>
  <w:endnote w:id="3">
    <w:p w14:paraId="2A28EF3B"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hyperlink r:id="rId1" w:history="1">
        <w:r w:rsidRPr="00871AD2">
          <w:rPr>
            <w:rStyle w:val="Hyperlink"/>
            <w:rFonts w:ascii="Garamond" w:hAnsi="Garamond"/>
          </w:rPr>
          <w:t>https://youtu.be/W2firijxQOo?si=5D1VpiEDTZ6YTwfU</w:t>
        </w:r>
      </w:hyperlink>
      <w:r w:rsidRPr="00871AD2">
        <w:rPr>
          <w:rFonts w:ascii="Garamond" w:hAnsi="Garamond"/>
        </w:rPr>
        <w:t xml:space="preserve"> </w:t>
      </w:r>
    </w:p>
  </w:endnote>
  <w:endnote w:id="4">
    <w:p w14:paraId="7F6E755C"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In fact, Lee subtly </w:t>
      </w:r>
      <w:r w:rsidRPr="00871AD2">
        <w:rPr>
          <w:rFonts w:ascii="Garamond" w:hAnsi="Garamond"/>
          <w:i/>
          <w:iCs/>
        </w:rPr>
        <w:t>misquotes</w:t>
      </w:r>
      <w:r w:rsidRPr="00871AD2">
        <w:rPr>
          <w:rFonts w:ascii="Garamond" w:hAnsi="Garamond"/>
        </w:rPr>
        <w:t xml:space="preserve">, for comedic effect. The original statement issued was actually “We are totally against all forms of racism and bullying and indeed this behaviour is entirely at odds with the brand values of the Carphone Warehouse.” </w:t>
      </w:r>
      <w:r w:rsidRPr="00871AD2">
        <w:rPr>
          <w:rFonts w:ascii="Garamond" w:hAnsi="Garamond"/>
        </w:rPr>
        <w:fldChar w:fldCharType="begin"/>
      </w:r>
      <w:r w:rsidRPr="00871AD2">
        <w:rPr>
          <w:rFonts w:ascii="Garamond" w:hAnsi="Garamond"/>
        </w:rPr>
        <w:instrText>ADDIN BEC{Plunkett, 2007 #66778}</w:instrText>
      </w:r>
      <w:r w:rsidRPr="00871AD2">
        <w:rPr>
          <w:rFonts w:ascii="Garamond" w:hAnsi="Garamond"/>
        </w:rPr>
        <w:fldChar w:fldCharType="separate"/>
      </w:r>
      <w:r w:rsidRPr="00871AD2">
        <w:rPr>
          <w:rFonts w:ascii="Garamond" w:hAnsi="Garamond"/>
        </w:rPr>
        <w:t xml:space="preserve">Plunkett, John, “Carphone Axes Big Brother Deal.” </w:t>
      </w:r>
      <w:r w:rsidRPr="00871AD2">
        <w:rPr>
          <w:rFonts w:ascii="Garamond" w:hAnsi="Garamond"/>
          <w:i/>
        </w:rPr>
        <w:t>The Guardian</w:t>
      </w:r>
      <w:r w:rsidRPr="00871AD2">
        <w:rPr>
          <w:rFonts w:ascii="Garamond" w:hAnsi="Garamond"/>
        </w:rPr>
        <w:t>, 2007.</w:t>
      </w:r>
      <w:r w:rsidRPr="00871AD2">
        <w:rPr>
          <w:rFonts w:ascii="Garamond" w:hAnsi="Garamond"/>
        </w:rPr>
        <w:fldChar w:fldCharType="end"/>
      </w:r>
      <w:r w:rsidRPr="00871AD2">
        <w:rPr>
          <w:rFonts w:ascii="Garamond" w:hAnsi="Garamond"/>
        </w:rPr>
        <w:t xml:space="preserve"> This misquotation is worth remarking upon. First, the idea of the “brand values” of the Carphone Warehouse is less immediately absurd, in the given context, than the idea of the Carphone Warehouse having values </w:t>
      </w:r>
      <w:r w:rsidRPr="00871AD2">
        <w:rPr>
          <w:rFonts w:ascii="Garamond" w:hAnsi="Garamond"/>
          <w:i/>
          <w:iCs/>
        </w:rPr>
        <w:t xml:space="preserve">per se </w:t>
      </w:r>
      <w:r w:rsidRPr="00871AD2">
        <w:rPr>
          <w:rFonts w:ascii="Garamond" w:hAnsi="Garamond"/>
        </w:rPr>
        <w:t xml:space="preserve">– which is presumably why Lee misquotes, i.e. for his joke to work most effectively. Second, the original row concerning Celebrity Big Brother was precisely not just about racism, but about specific acts of racist </w:t>
      </w:r>
      <w:r w:rsidRPr="00871AD2">
        <w:rPr>
          <w:rFonts w:ascii="Garamond" w:hAnsi="Garamond"/>
          <w:i/>
          <w:iCs/>
        </w:rPr>
        <w:t>bullying</w:t>
      </w:r>
      <w:r w:rsidRPr="00871AD2">
        <w:rPr>
          <w:rFonts w:ascii="Garamond" w:hAnsi="Garamond"/>
        </w:rPr>
        <w:t xml:space="preserve">, perceived to have taken place between contestants on the show. If, like me, you share the intuition that it is somehow less absurd for a corporate sponsor to condemn specific acts of racist bullying, acts that wider society was at that moment roundly condemning (which in January 2011, it very much was), as compared to a corporate sponsor somehow condemning racism in the abstract, ask yourself: why? </w:t>
      </w:r>
    </w:p>
  </w:endnote>
  <w:endnote w:id="5">
    <w:p w14:paraId="4B993CD6"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BEC{Szabo and Webster, 2021 #229119; Delmas and Burbano, 2011 #193525}</w:instrText>
      </w:r>
      <w:r w:rsidRPr="00871AD2">
        <w:rPr>
          <w:rFonts w:ascii="Garamond" w:hAnsi="Garamond"/>
        </w:rPr>
        <w:fldChar w:fldCharType="separate"/>
      </w:r>
      <w:r w:rsidRPr="00871AD2">
        <w:rPr>
          <w:rFonts w:ascii="Garamond" w:hAnsi="Garamond"/>
        </w:rPr>
        <w:t xml:space="preserve">Szerena Szabo, and Jane Webster, “Perceived Greenwashing: The Effects of Green Marketing on Environmental and Product Perceptions,” </w:t>
      </w:r>
      <w:r w:rsidRPr="00871AD2">
        <w:rPr>
          <w:rFonts w:ascii="Garamond" w:hAnsi="Garamond"/>
          <w:i/>
        </w:rPr>
        <w:t>Journal of Business Ethics</w:t>
      </w:r>
      <w:r w:rsidRPr="00871AD2">
        <w:rPr>
          <w:rFonts w:ascii="Garamond" w:hAnsi="Garamond"/>
        </w:rPr>
        <w:t xml:space="preserve"> 171, no. 4 (2021); Magali A. Delmas, and Vanessa Cuerel Burbano, “The Drivers of Greenwashing,” </w:t>
      </w:r>
      <w:r w:rsidRPr="00871AD2">
        <w:rPr>
          <w:rFonts w:ascii="Garamond" w:hAnsi="Garamond"/>
          <w:i/>
        </w:rPr>
        <w:t>California Management Review</w:t>
      </w:r>
      <w:r w:rsidRPr="00871AD2">
        <w:rPr>
          <w:rFonts w:ascii="Garamond" w:hAnsi="Garamond"/>
        </w:rPr>
        <w:t xml:space="preserve"> 54, no. 1 (2011).</w:t>
      </w:r>
      <w:r w:rsidRPr="00871AD2">
        <w:rPr>
          <w:rFonts w:ascii="Garamond" w:hAnsi="Garamond"/>
        </w:rPr>
        <w:fldChar w:fldCharType="end"/>
      </w:r>
      <w:r w:rsidRPr="00871AD2">
        <w:rPr>
          <w:rFonts w:ascii="Garamond" w:hAnsi="Garamond"/>
        </w:rPr>
        <w:t xml:space="preserve"> </w:t>
      </w:r>
    </w:p>
  </w:endnote>
  <w:endnote w:id="6">
    <w:p w14:paraId="50BFC5AB"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BEC{Pope and Wæraas, 2016 #250781}</w:instrText>
      </w:r>
      <w:r w:rsidRPr="00871AD2">
        <w:rPr>
          <w:rFonts w:ascii="Garamond" w:hAnsi="Garamond"/>
        </w:rPr>
        <w:fldChar w:fldCharType="separate"/>
      </w:r>
      <w:r w:rsidRPr="00871AD2">
        <w:rPr>
          <w:rFonts w:ascii="Garamond" w:hAnsi="Garamond"/>
        </w:rPr>
        <w:t xml:space="preserve">Shawn Pope, and Arild Wæraas, “Csr-Washing is Rare: A Conceptual Framework, Literature Review, and Critique,” </w:t>
      </w:r>
      <w:r w:rsidRPr="00871AD2">
        <w:rPr>
          <w:rFonts w:ascii="Garamond" w:hAnsi="Garamond"/>
          <w:i/>
        </w:rPr>
        <w:t>Journal of Business Ethics</w:t>
      </w:r>
      <w:r w:rsidRPr="00871AD2">
        <w:rPr>
          <w:rFonts w:ascii="Garamond" w:hAnsi="Garamond"/>
        </w:rPr>
        <w:t xml:space="preserve"> 137, no. 1 (2016).</w:t>
      </w:r>
      <w:r w:rsidRPr="00871AD2">
        <w:rPr>
          <w:rFonts w:ascii="Garamond" w:hAnsi="Garamond"/>
        </w:rPr>
        <w:fldChar w:fldCharType="end"/>
      </w:r>
    </w:p>
  </w:endnote>
  <w:endnote w:id="7">
    <w:p w14:paraId="680F087C"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BEC{Caruelle, 2025 #292595@745}</w:instrText>
      </w:r>
      <w:r w:rsidRPr="00871AD2">
        <w:rPr>
          <w:rFonts w:ascii="Garamond" w:hAnsi="Garamond"/>
        </w:rPr>
        <w:fldChar w:fldCharType="separate"/>
      </w:r>
      <w:r w:rsidRPr="00871AD2">
        <w:rPr>
          <w:rFonts w:ascii="Garamond" w:hAnsi="Garamond"/>
        </w:rPr>
        <w:t>Caruelle, “Woke Advertising,” 745.</w:t>
      </w:r>
      <w:r w:rsidRPr="00871AD2">
        <w:rPr>
          <w:rFonts w:ascii="Garamond" w:hAnsi="Garamond"/>
        </w:rPr>
        <w:fldChar w:fldCharType="end"/>
      </w:r>
      <w:r w:rsidRPr="00871AD2">
        <w:rPr>
          <w:rFonts w:ascii="Garamond" w:hAnsi="Garamond"/>
        </w:rPr>
        <w:t>, emphasis in original.</w:t>
      </w:r>
    </w:p>
  </w:endnote>
  <w:endnote w:id="8">
    <w:p w14:paraId="23C5754F"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BEC{Keane, 2013 #201853}</w:instrText>
      </w:r>
      <w:r w:rsidRPr="00871AD2">
        <w:rPr>
          <w:rFonts w:ascii="Garamond" w:hAnsi="Garamond"/>
        </w:rPr>
        <w:fldChar w:fldCharType="separate"/>
      </w:r>
      <w:r w:rsidRPr="00871AD2">
        <w:rPr>
          <w:rFonts w:ascii="Garamond" w:hAnsi="Garamond"/>
        </w:rPr>
        <w:t xml:space="preserve">Keane, Erin, “Stop Posting That Dove Ad: “Real Beauty” Campaign is Not Feminist.” </w:t>
      </w:r>
      <w:r w:rsidRPr="00871AD2">
        <w:rPr>
          <w:rFonts w:ascii="Garamond" w:hAnsi="Garamond"/>
          <w:i/>
        </w:rPr>
        <w:t>Salon</w:t>
      </w:r>
      <w:r w:rsidRPr="00871AD2">
        <w:rPr>
          <w:rFonts w:ascii="Garamond" w:hAnsi="Garamond"/>
        </w:rPr>
        <w:t>, 2013.</w:t>
      </w:r>
      <w:r w:rsidRPr="00871AD2">
        <w:rPr>
          <w:rFonts w:ascii="Garamond" w:hAnsi="Garamond"/>
        </w:rPr>
        <w:fldChar w:fldCharType="end"/>
      </w:r>
    </w:p>
  </w:endnote>
  <w:endnote w:id="9">
    <w:p w14:paraId="69321FA1"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BEC{Caruelle, 2025 #292595@748}</w:instrText>
      </w:r>
      <w:r w:rsidRPr="00871AD2">
        <w:rPr>
          <w:rFonts w:ascii="Garamond" w:hAnsi="Garamond"/>
        </w:rPr>
        <w:fldChar w:fldCharType="separate"/>
      </w:r>
      <w:r w:rsidRPr="00871AD2">
        <w:rPr>
          <w:rFonts w:ascii="Garamond" w:hAnsi="Garamond"/>
        </w:rPr>
        <w:t>Caruelle, “Woke Advertising,” 748.</w:t>
      </w:r>
      <w:r w:rsidRPr="00871AD2">
        <w:rPr>
          <w:rFonts w:ascii="Garamond" w:hAnsi="Garamond"/>
        </w:rPr>
        <w:fldChar w:fldCharType="end"/>
      </w:r>
    </w:p>
  </w:endnote>
  <w:endnote w:id="10">
    <w:p w14:paraId="42F44BB7"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BEC{Schmidt et al., 2022 #99273; Aaker et al., 2004 #143703; Ahmad et al., 2024 #119907}</w:instrText>
      </w:r>
      <w:r w:rsidRPr="00871AD2">
        <w:rPr>
          <w:rFonts w:ascii="Garamond" w:hAnsi="Garamond"/>
        </w:rPr>
        <w:fldChar w:fldCharType="separate"/>
      </w:r>
      <w:r w:rsidRPr="00871AD2">
        <w:rPr>
          <w:rFonts w:ascii="Garamond" w:hAnsi="Garamond"/>
        </w:rPr>
        <w:t>Holger Joerg Schmidt</w:t>
      </w:r>
      <w:r w:rsidRPr="00871AD2">
        <w:rPr>
          <w:rFonts w:ascii="Garamond" w:hAnsi="Garamond"/>
          <w:i/>
        </w:rPr>
        <w:t>, et al.</w:t>
      </w:r>
      <w:r w:rsidRPr="00871AD2">
        <w:rPr>
          <w:rFonts w:ascii="Garamond" w:hAnsi="Garamond"/>
        </w:rPr>
        <w:t xml:space="preserve">, “Sociopolitical Activist Brands,” </w:t>
      </w:r>
      <w:r w:rsidRPr="00871AD2">
        <w:rPr>
          <w:rFonts w:ascii="Garamond" w:hAnsi="Garamond"/>
          <w:i/>
        </w:rPr>
        <w:t>Journal of Product &amp; Brand Management</w:t>
      </w:r>
      <w:r w:rsidRPr="00871AD2">
        <w:rPr>
          <w:rFonts w:ascii="Garamond" w:hAnsi="Garamond"/>
        </w:rPr>
        <w:t xml:space="preserve"> 31, no. 1 (2022); Jennifer Aaker, Susan Fournier, and S. Adam Brasel, “When Good Brands Do Bad,” </w:t>
      </w:r>
      <w:r w:rsidRPr="00871AD2">
        <w:rPr>
          <w:rFonts w:ascii="Garamond" w:hAnsi="Garamond"/>
          <w:i/>
        </w:rPr>
        <w:t>Journal of Consumer Research</w:t>
      </w:r>
      <w:r w:rsidRPr="00871AD2">
        <w:rPr>
          <w:rFonts w:ascii="Garamond" w:hAnsi="Garamond"/>
        </w:rPr>
        <w:t xml:space="preserve"> 31, no. 1 (2004); Fayez Ahmad, Francisco Guzmán, and Md Al-Emran, “Brand Activism and the Consequence of Woke Washing,” </w:t>
      </w:r>
      <w:r w:rsidRPr="00871AD2">
        <w:rPr>
          <w:rFonts w:ascii="Garamond" w:hAnsi="Garamond"/>
          <w:i/>
        </w:rPr>
        <w:t>Journal of Business Research</w:t>
      </w:r>
      <w:r w:rsidRPr="00871AD2">
        <w:rPr>
          <w:rFonts w:ascii="Garamond" w:hAnsi="Garamond"/>
        </w:rPr>
        <w:t xml:space="preserve"> 170 (2024).</w:t>
      </w:r>
      <w:r w:rsidRPr="00871AD2">
        <w:rPr>
          <w:rFonts w:ascii="Garamond" w:hAnsi="Garamond"/>
        </w:rPr>
        <w:fldChar w:fldCharType="end"/>
      </w:r>
    </w:p>
  </w:endnote>
  <w:endnote w:id="11">
    <w:p w14:paraId="3109785C"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BEC{Caruelle, 2025 #292595@746}</w:instrText>
      </w:r>
      <w:r w:rsidRPr="00871AD2">
        <w:rPr>
          <w:rFonts w:ascii="Garamond" w:hAnsi="Garamond"/>
        </w:rPr>
        <w:fldChar w:fldCharType="separate"/>
      </w:r>
      <w:r w:rsidRPr="00871AD2">
        <w:rPr>
          <w:rFonts w:ascii="Garamond" w:hAnsi="Garamond"/>
        </w:rPr>
        <w:t>Caruelle, “Woke Advertising,” 746.</w:t>
      </w:r>
      <w:r w:rsidRPr="00871AD2">
        <w:rPr>
          <w:rFonts w:ascii="Garamond" w:hAnsi="Garamond"/>
        </w:rPr>
        <w:fldChar w:fldCharType="end"/>
      </w:r>
    </w:p>
  </w:endnote>
  <w:endnote w:id="12">
    <w:p w14:paraId="535B22D5"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BEC{Valinsky, 2023 #24117}</w:instrText>
      </w:r>
      <w:r w:rsidRPr="00871AD2">
        <w:rPr>
          <w:rFonts w:ascii="Garamond" w:hAnsi="Garamond"/>
        </w:rPr>
        <w:fldChar w:fldCharType="separate"/>
      </w:r>
      <w:r w:rsidRPr="00871AD2">
        <w:rPr>
          <w:rFonts w:ascii="Garamond" w:hAnsi="Garamond"/>
        </w:rPr>
        <w:t>Jordan Valinsky, “Kid Rock Says He is Done Boycotting Bud Light.” (2023): https://edition.cnn.com/2023/12/13/food/kid-rock-bud-light-boycott-reversal.</w:t>
      </w:r>
      <w:r w:rsidRPr="00871AD2">
        <w:rPr>
          <w:rFonts w:ascii="Garamond" w:hAnsi="Garamond"/>
        </w:rPr>
        <w:fldChar w:fldCharType="end"/>
      </w:r>
    </w:p>
  </w:endnote>
  <w:endnote w:id="13">
    <w:p w14:paraId="6A54352B"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BEC{MacDonald, 2019 #152217@931}</w:instrText>
      </w:r>
      <w:r w:rsidRPr="00871AD2">
        <w:rPr>
          <w:rFonts w:ascii="Garamond" w:hAnsi="Garamond"/>
        </w:rPr>
        <w:fldChar w:fldCharType="separate"/>
      </w:r>
      <w:r w:rsidRPr="00871AD2">
        <w:rPr>
          <w:rFonts w:ascii="Garamond" w:hAnsi="Garamond"/>
        </w:rPr>
        <w:t>MacDonald, “Corporate Moral Motivation,” 931.</w:t>
      </w:r>
      <w:r w:rsidRPr="00871AD2">
        <w:rPr>
          <w:rFonts w:ascii="Garamond" w:hAnsi="Garamond"/>
        </w:rPr>
        <w:fldChar w:fldCharType="end"/>
      </w:r>
    </w:p>
  </w:endnote>
  <w:endnote w:id="14">
    <w:p w14:paraId="3B88B320"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BEC{Kaufmann and Bowers, 2024 #180372}</w:instrText>
      </w:r>
      <w:r w:rsidRPr="00871AD2">
        <w:rPr>
          <w:rFonts w:ascii="Garamond" w:hAnsi="Garamond"/>
        </w:rPr>
        <w:fldChar w:fldCharType="separate"/>
      </w:r>
      <w:r w:rsidRPr="00871AD2">
        <w:rPr>
          <w:rFonts w:ascii="Garamond" w:hAnsi="Garamond"/>
        </w:rPr>
        <w:t xml:space="preserve">Lauren Kaufmann, and Katherine Bowers, “Pop Culture and Corporate Culture: Netflix and the Dave Chappelle Controversy.” </w:t>
      </w:r>
      <w:r w:rsidRPr="00871AD2">
        <w:rPr>
          <w:rFonts w:ascii="Garamond" w:hAnsi="Garamond"/>
          <w:i/>
        </w:rPr>
        <w:t>Business, ethics, and society</w:t>
      </w:r>
      <w:r w:rsidRPr="00871AD2">
        <w:rPr>
          <w:rFonts w:ascii="Garamond" w:hAnsi="Garamond"/>
        </w:rPr>
        <w:t xml:space="preserve"> (2024): https://ideas.darden.virginia.edu/netflix-and-dave-chappelle.</w:t>
      </w:r>
      <w:r w:rsidRPr="00871AD2">
        <w:rPr>
          <w:rFonts w:ascii="Garamond" w:hAnsi="Garamond"/>
        </w:rPr>
        <w:fldChar w:fldCharType="end"/>
      </w:r>
    </w:p>
  </w:endnote>
  <w:endnote w:id="15">
    <w:p w14:paraId="064C99D0"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BEC{Hoskins, 2025, #294023}</w:instrText>
      </w:r>
      <w:r w:rsidRPr="00871AD2">
        <w:rPr>
          <w:rFonts w:ascii="Garamond" w:hAnsi="Garamond"/>
        </w:rPr>
        <w:fldChar w:fldCharType="separate"/>
      </w:r>
      <w:r w:rsidRPr="00871AD2">
        <w:rPr>
          <w:rFonts w:ascii="Garamond" w:hAnsi="Garamond"/>
        </w:rPr>
        <w:t>Peter Hoskins, “Ben &amp; Jerry’s Co-Founder Quits Over Social Activism Row.” (2025): https://www.bbc.co.uk/news/articles/c4g58xx1eero.</w:t>
      </w:r>
      <w:r w:rsidRPr="00871AD2">
        <w:rPr>
          <w:rFonts w:ascii="Garamond" w:hAnsi="Garamond"/>
        </w:rPr>
        <w:fldChar w:fldCharType="end"/>
      </w:r>
    </w:p>
  </w:endnote>
  <w:endnote w:id="16">
    <w:p w14:paraId="43B5631B"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BEC{Heath, 2014 #114965@46; Vogel, 2005 #286342@2-3, 11-12}</w:instrText>
      </w:r>
      <w:r w:rsidRPr="00871AD2">
        <w:rPr>
          <w:rFonts w:ascii="Garamond" w:hAnsi="Garamond"/>
        </w:rPr>
        <w:fldChar w:fldCharType="separate"/>
      </w:r>
      <w:r w:rsidRPr="00871AD2">
        <w:rPr>
          <w:rFonts w:ascii="Garamond" w:hAnsi="Garamond"/>
        </w:rPr>
        <w:t xml:space="preserve">Joseph Heath, </w:t>
      </w:r>
      <w:r w:rsidRPr="00871AD2">
        <w:rPr>
          <w:rFonts w:ascii="Garamond" w:hAnsi="Garamond"/>
          <w:i/>
        </w:rPr>
        <w:t xml:space="preserve">Morality, Competition, and the Firm: The Market Failures Approach to Business Ethics </w:t>
      </w:r>
      <w:r w:rsidRPr="00871AD2">
        <w:rPr>
          <w:rFonts w:ascii="Garamond" w:hAnsi="Garamond"/>
        </w:rPr>
        <w:t xml:space="preserve">(Oxford: Oxford University Press, 2014), 46; David Vogel, </w:t>
      </w:r>
      <w:r w:rsidRPr="00871AD2">
        <w:rPr>
          <w:rFonts w:ascii="Garamond" w:hAnsi="Garamond"/>
          <w:i/>
        </w:rPr>
        <w:t xml:space="preserve">The Market for Virtue: The Potential and Limits of Corporate Social Responsibility </w:t>
      </w:r>
      <w:r w:rsidRPr="00871AD2">
        <w:rPr>
          <w:rFonts w:ascii="Garamond" w:hAnsi="Garamond"/>
        </w:rPr>
        <w:t>(Washington D.C.: Brookings Institution Press, 2005), 2-3, 11-12.</w:t>
      </w:r>
      <w:r w:rsidRPr="00871AD2">
        <w:rPr>
          <w:rFonts w:ascii="Garamond" w:hAnsi="Garamond"/>
        </w:rPr>
        <w:fldChar w:fldCharType="end"/>
      </w:r>
    </w:p>
  </w:endnote>
  <w:endnote w:id="17">
    <w:p w14:paraId="20A7D289"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BEC{Heath, 2014 #114965; Heath, 2019 #187845; Heath, 2022 #61913}</w:instrText>
      </w:r>
      <w:r w:rsidRPr="00871AD2">
        <w:rPr>
          <w:rFonts w:ascii="Garamond" w:hAnsi="Garamond"/>
        </w:rPr>
        <w:fldChar w:fldCharType="separate"/>
      </w:r>
      <w:r w:rsidRPr="00871AD2">
        <w:rPr>
          <w:rFonts w:ascii="Garamond" w:hAnsi="Garamond"/>
        </w:rPr>
        <w:t xml:space="preserve">Heath, </w:t>
      </w:r>
      <w:r w:rsidRPr="00871AD2">
        <w:rPr>
          <w:rFonts w:ascii="Garamond" w:hAnsi="Garamond"/>
          <w:i/>
        </w:rPr>
        <w:t>Competition and the Firm</w:t>
      </w:r>
      <w:r w:rsidRPr="00871AD2">
        <w:rPr>
          <w:rFonts w:ascii="Garamond" w:hAnsi="Garamond"/>
        </w:rPr>
        <w:t xml:space="preserve">; Joseph Heath, “The Moral Status of Profit,” in </w:t>
      </w:r>
      <w:r w:rsidRPr="00871AD2">
        <w:rPr>
          <w:rFonts w:ascii="Garamond" w:hAnsi="Garamond"/>
          <w:i/>
        </w:rPr>
        <w:t>The Oxford Handbook of Ethics and Economics</w:t>
      </w:r>
      <w:r w:rsidRPr="00871AD2">
        <w:rPr>
          <w:rFonts w:ascii="Garamond" w:hAnsi="Garamond"/>
        </w:rPr>
        <w:t xml:space="preserve"> Oxford University Press, 2019); Joseph Heath, “Why Profit is Not the Problem,” in </w:t>
      </w:r>
      <w:r w:rsidRPr="00871AD2">
        <w:rPr>
          <w:rFonts w:ascii="Garamond" w:hAnsi="Garamond"/>
          <w:i/>
        </w:rPr>
        <w:t>Cooperation and Social Justice</w:t>
      </w:r>
      <w:r w:rsidRPr="00871AD2">
        <w:rPr>
          <w:rFonts w:ascii="Garamond" w:hAnsi="Garamond"/>
        </w:rPr>
        <w:t xml:space="preserve"> (Toronto, Ontario: University of Toronto Press, 2022).</w:t>
      </w:r>
      <w:r w:rsidRPr="00871AD2">
        <w:rPr>
          <w:rFonts w:ascii="Garamond" w:hAnsi="Garamond"/>
        </w:rPr>
        <w:fldChar w:fldCharType="end"/>
      </w:r>
    </w:p>
  </w:endnote>
  <w:endnote w:id="18">
    <w:p w14:paraId="61448F6F"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BEC{Heath, 2019 #187845@339; Heath, 2022 #61913@68-9}</w:instrText>
      </w:r>
      <w:r w:rsidRPr="00871AD2">
        <w:rPr>
          <w:rFonts w:ascii="Garamond" w:hAnsi="Garamond"/>
        </w:rPr>
        <w:fldChar w:fldCharType="separate"/>
      </w:r>
      <w:r w:rsidRPr="00871AD2">
        <w:rPr>
          <w:rFonts w:ascii="Garamond" w:hAnsi="Garamond"/>
        </w:rPr>
        <w:t>Heath, “Status of Profit,” 339; Heath, “Profit Not the Problem,” 68-69.</w:t>
      </w:r>
      <w:r w:rsidRPr="00871AD2">
        <w:rPr>
          <w:rFonts w:ascii="Garamond" w:hAnsi="Garamond"/>
        </w:rPr>
        <w:fldChar w:fldCharType="end"/>
      </w:r>
    </w:p>
  </w:endnote>
  <w:endnote w:id="19">
    <w:p w14:paraId="1E3F81F9"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BEC{Heath, 2019 #187845@341}</w:instrText>
      </w:r>
      <w:r w:rsidRPr="00871AD2">
        <w:rPr>
          <w:rFonts w:ascii="Garamond" w:hAnsi="Garamond"/>
        </w:rPr>
        <w:fldChar w:fldCharType="separate"/>
      </w:r>
      <w:r w:rsidRPr="00871AD2">
        <w:rPr>
          <w:rFonts w:ascii="Garamond" w:hAnsi="Garamond"/>
        </w:rPr>
        <w:t>Heath, “Status of Profit,” 341.</w:t>
      </w:r>
      <w:r w:rsidRPr="00871AD2">
        <w:rPr>
          <w:rFonts w:ascii="Garamond" w:hAnsi="Garamond"/>
        </w:rPr>
        <w:fldChar w:fldCharType="end"/>
      </w:r>
    </w:p>
  </w:endnote>
  <w:endnote w:id="20">
    <w:p w14:paraId="0569EF79"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BEC{Heath, 2019 #187845@343}</w:instrText>
      </w:r>
      <w:r w:rsidRPr="00871AD2">
        <w:rPr>
          <w:rFonts w:ascii="Garamond" w:hAnsi="Garamond"/>
        </w:rPr>
        <w:fldChar w:fldCharType="separate"/>
      </w:r>
      <w:r w:rsidRPr="00871AD2">
        <w:rPr>
          <w:rFonts w:ascii="Garamond" w:hAnsi="Garamond"/>
        </w:rPr>
        <w:t>Heath, “Status of Profit,” 343.</w:t>
      </w:r>
      <w:r w:rsidRPr="00871AD2">
        <w:rPr>
          <w:rFonts w:ascii="Garamond" w:hAnsi="Garamond"/>
        </w:rPr>
        <w:fldChar w:fldCharType="end"/>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BEC{Sagar, 2021 #25957}</w:instrText>
      </w:r>
      <w:r w:rsidRPr="00871AD2">
        <w:rPr>
          <w:rFonts w:ascii="Garamond" w:hAnsi="Garamond"/>
        </w:rPr>
        <w:fldChar w:fldCharType="separate"/>
      </w:r>
      <w:r w:rsidRPr="00871AD2">
        <w:rPr>
          <w:rFonts w:ascii="Garamond" w:hAnsi="Garamond"/>
        </w:rPr>
        <w:t xml:space="preserve">Paul Sagar, “Adam Smith and the Conspiracy of the Merchants,” </w:t>
      </w:r>
      <w:r w:rsidRPr="00871AD2">
        <w:rPr>
          <w:rFonts w:ascii="Garamond" w:hAnsi="Garamond"/>
          <w:i/>
        </w:rPr>
        <w:t>Global Intellectual History</w:t>
      </w:r>
      <w:r w:rsidRPr="00871AD2">
        <w:rPr>
          <w:rFonts w:ascii="Garamond" w:hAnsi="Garamond"/>
        </w:rPr>
        <w:t xml:space="preserve"> 6, no. 4 (2021).</w:t>
      </w:r>
      <w:r w:rsidRPr="00871AD2">
        <w:rPr>
          <w:rFonts w:ascii="Garamond" w:hAnsi="Garamond"/>
        </w:rPr>
        <w:fldChar w:fldCharType="end"/>
      </w:r>
    </w:p>
  </w:endnote>
  <w:endnote w:id="21">
    <w:p w14:paraId="4C14A968"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Of course, alternatives to the price mechanism as facilitated through market competition have been tried in the relatively recent history of some countries. The results were dismal, to put it mildly. No sane, well-informed person any longer wishes to deviate wholesale from the market as the basic framework for employing the price mechanism when it comes to the allocation of resources. Exactly how that framework is organised admits of a huge degree of variation, however, and regarding which political contestation rightly takes place. Nonetheless, at this point in history, the argument is about </w:t>
      </w:r>
      <w:r w:rsidRPr="00871AD2">
        <w:rPr>
          <w:rFonts w:ascii="Garamond" w:hAnsi="Garamond"/>
          <w:i/>
          <w:iCs/>
        </w:rPr>
        <w:t>how</w:t>
      </w:r>
      <w:r w:rsidRPr="00871AD2">
        <w:rPr>
          <w:rFonts w:ascii="Garamond" w:hAnsi="Garamond"/>
        </w:rPr>
        <w:t xml:space="preserve"> to organise that framework, not whether we should try to replace it with something else </w:t>
      </w:r>
      <w:r w:rsidRPr="00871AD2">
        <w:rPr>
          <w:rFonts w:ascii="Garamond" w:hAnsi="Garamond"/>
        </w:rPr>
        <w:fldChar w:fldCharType="begin"/>
      </w:r>
      <w:r w:rsidRPr="00871AD2">
        <w:rPr>
          <w:rFonts w:ascii="Garamond" w:hAnsi="Garamond"/>
        </w:rPr>
        <w:instrText>ADDIN BEC{Heath, 2022 #61913}</w:instrText>
      </w:r>
      <w:r w:rsidRPr="00871AD2">
        <w:rPr>
          <w:rFonts w:ascii="Garamond" w:hAnsi="Garamond"/>
        </w:rPr>
        <w:fldChar w:fldCharType="separate"/>
      </w:r>
      <w:r w:rsidRPr="00871AD2">
        <w:rPr>
          <w:rFonts w:ascii="Garamond" w:hAnsi="Garamond"/>
        </w:rPr>
        <w:t>Heath, “Profit Not the Problem.”</w:t>
      </w:r>
      <w:r w:rsidRPr="00871AD2">
        <w:rPr>
          <w:rFonts w:ascii="Garamond" w:hAnsi="Garamond"/>
        </w:rPr>
        <w:fldChar w:fldCharType="end"/>
      </w:r>
      <w:r w:rsidRPr="00871AD2">
        <w:rPr>
          <w:rFonts w:ascii="Garamond" w:hAnsi="Garamond"/>
        </w:rPr>
        <w:t>.</w:t>
      </w:r>
    </w:p>
  </w:endnote>
  <w:endnote w:id="22">
    <w:p w14:paraId="4FB3DA50"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BEC{Heath, 2014 #114965@93, 102-3, 186, 200}</w:instrText>
      </w:r>
      <w:r w:rsidRPr="00871AD2">
        <w:rPr>
          <w:rFonts w:ascii="Garamond" w:hAnsi="Garamond"/>
        </w:rPr>
        <w:fldChar w:fldCharType="separate"/>
      </w:r>
      <w:r w:rsidRPr="00871AD2">
        <w:rPr>
          <w:rFonts w:ascii="Garamond" w:hAnsi="Garamond"/>
        </w:rPr>
        <w:t xml:space="preserve">Heath, </w:t>
      </w:r>
      <w:r w:rsidRPr="00871AD2">
        <w:rPr>
          <w:rFonts w:ascii="Garamond" w:hAnsi="Garamond"/>
          <w:i/>
        </w:rPr>
        <w:t>Competition and the Firm</w:t>
      </w:r>
      <w:r w:rsidRPr="00871AD2">
        <w:rPr>
          <w:rFonts w:ascii="Garamond" w:hAnsi="Garamond"/>
        </w:rPr>
        <w:t>, 93, 102-3, 186, 200.</w:t>
      </w:r>
      <w:r w:rsidRPr="00871AD2">
        <w:rPr>
          <w:rFonts w:ascii="Garamond" w:hAnsi="Garamond"/>
        </w:rPr>
        <w:fldChar w:fldCharType="end"/>
      </w:r>
    </w:p>
  </w:endnote>
  <w:endnote w:id="23">
    <w:p w14:paraId="41CB1F9B"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BEC{Applbaum, 1999 #76111; Heath, 2014 #114965@8-9}</w:instrText>
      </w:r>
      <w:r w:rsidRPr="00871AD2">
        <w:rPr>
          <w:rFonts w:ascii="Garamond" w:hAnsi="Garamond"/>
        </w:rPr>
        <w:fldChar w:fldCharType="separate"/>
      </w:r>
      <w:r w:rsidRPr="00871AD2">
        <w:rPr>
          <w:rFonts w:ascii="Garamond" w:hAnsi="Garamond"/>
        </w:rPr>
        <w:t xml:space="preserve">Arthur Isak Applbaum, </w:t>
      </w:r>
      <w:r w:rsidRPr="00871AD2">
        <w:rPr>
          <w:rFonts w:ascii="Garamond" w:hAnsi="Garamond"/>
          <w:i/>
        </w:rPr>
        <w:t xml:space="preserve">Ethics for Adversaries: The Morality of Roles in Public and Professional Life </w:t>
      </w:r>
      <w:r w:rsidRPr="00871AD2">
        <w:rPr>
          <w:rFonts w:ascii="Garamond" w:hAnsi="Garamond"/>
        </w:rPr>
        <w:t xml:space="preserve">(Princeton: Princeton University Press, 1999); Heath, </w:t>
      </w:r>
      <w:r w:rsidRPr="00871AD2">
        <w:rPr>
          <w:rFonts w:ascii="Garamond" w:hAnsi="Garamond"/>
          <w:i/>
        </w:rPr>
        <w:t>Competition and the Firm</w:t>
      </w:r>
      <w:r w:rsidRPr="00871AD2">
        <w:rPr>
          <w:rFonts w:ascii="Garamond" w:hAnsi="Garamond"/>
        </w:rPr>
        <w:t>, 8-9.</w:t>
      </w:r>
      <w:r w:rsidRPr="00871AD2">
        <w:rPr>
          <w:rFonts w:ascii="Garamond" w:hAnsi="Garamond"/>
        </w:rPr>
        <w:fldChar w:fldCharType="end"/>
      </w:r>
    </w:p>
  </w:endnote>
  <w:endnote w:id="24">
    <w:p w14:paraId="28885068"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BEC{Heath, 2014 #114965@102}</w:instrText>
      </w:r>
      <w:r w:rsidRPr="00871AD2">
        <w:rPr>
          <w:rFonts w:ascii="Garamond" w:hAnsi="Garamond"/>
        </w:rPr>
        <w:fldChar w:fldCharType="separate"/>
      </w:r>
      <w:r w:rsidRPr="00871AD2">
        <w:rPr>
          <w:rFonts w:ascii="Garamond" w:hAnsi="Garamond"/>
        </w:rPr>
        <w:t xml:space="preserve">Heath, </w:t>
      </w:r>
      <w:r w:rsidRPr="00871AD2">
        <w:rPr>
          <w:rFonts w:ascii="Garamond" w:hAnsi="Garamond"/>
          <w:i/>
        </w:rPr>
        <w:t>Competition and the Firm</w:t>
      </w:r>
      <w:r w:rsidRPr="00871AD2">
        <w:rPr>
          <w:rFonts w:ascii="Garamond" w:hAnsi="Garamond"/>
        </w:rPr>
        <w:t>, 102.</w:t>
      </w:r>
      <w:r w:rsidRPr="00871AD2">
        <w:rPr>
          <w:rFonts w:ascii="Garamond" w:hAnsi="Garamond"/>
        </w:rPr>
        <w:fldChar w:fldCharType="end"/>
      </w:r>
    </w:p>
  </w:endnote>
  <w:endnote w:id="25">
    <w:p w14:paraId="10816A1E"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Insofar as one wishes to </w:t>
      </w:r>
      <w:r w:rsidRPr="00871AD2">
        <w:rPr>
          <w:rFonts w:ascii="Garamond" w:hAnsi="Garamond"/>
          <w:i/>
          <w:iCs/>
        </w:rPr>
        <w:t>change</w:t>
      </w:r>
      <w:r w:rsidRPr="00871AD2">
        <w:rPr>
          <w:rFonts w:ascii="Garamond" w:hAnsi="Garamond"/>
        </w:rPr>
        <w:t xml:space="preserve"> the bounds of the law, that is entirely appropriate within a democracy, and it is likewise appropriate for one’s moral beliefs to influence how, exactly, one wishes those bounds to be reshaped. Whether or not one succeeds will, of course, ultimately be a function of politics. But in </w:t>
      </w:r>
      <w:r w:rsidRPr="007A5208">
        <w:rPr>
          <w:rFonts w:ascii="Garamond" w:hAnsi="Garamond"/>
          <w:lang w:val="en-US"/>
        </w:rPr>
        <w:t>any</w:t>
      </w:r>
      <w:r w:rsidRPr="00871AD2">
        <w:rPr>
          <w:rFonts w:ascii="Garamond" w:hAnsi="Garamond"/>
        </w:rPr>
        <w:t xml:space="preserve"> case, what ought not to be rejected by any right-thinking person (given the lessons now freely available from the last 150-odd years of experiments in real-world political economy) is the permissibility of corporate profit-seeking </w:t>
      </w:r>
      <w:r w:rsidRPr="00871AD2">
        <w:rPr>
          <w:rFonts w:ascii="Garamond" w:hAnsi="Garamond"/>
          <w:i/>
          <w:iCs/>
        </w:rPr>
        <w:t>in some form or another</w:t>
      </w:r>
      <w:r w:rsidRPr="00871AD2">
        <w:rPr>
          <w:rFonts w:ascii="Garamond" w:hAnsi="Garamond"/>
        </w:rPr>
        <w:t>.</w:t>
      </w:r>
    </w:p>
  </w:endnote>
  <w:endnote w:id="26">
    <w:p w14:paraId="4FD0CD8D"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It is fairly obvious that much leftist, anti-capitalist objection to profit-seeking is a direct outgrowth of an intuitive response against the open pursuit of self-interest. Interestingly, however, a great deal of right-wing acquiescence to profit-seeking works by substituting an alternative intuitive response, which shortcuts recourse to careful intellectual reasoning, conveniently delivering opposite conclusions to those of the leftist. Just think of simplistic dogmas surrounding uncritical belief in the inherent superiority of privatisation versus state provision in all</w:t>
      </w:r>
      <w:r w:rsidRPr="00871AD2">
        <w:rPr>
          <w:rFonts w:ascii="Garamond" w:hAnsi="Garamond"/>
          <w:i/>
          <w:iCs/>
        </w:rPr>
        <w:t xml:space="preserve"> </w:t>
      </w:r>
      <w:r w:rsidRPr="00871AD2">
        <w:rPr>
          <w:rFonts w:ascii="Garamond" w:hAnsi="Garamond"/>
        </w:rPr>
        <w:t>and</w:t>
      </w:r>
      <w:r w:rsidRPr="00871AD2">
        <w:rPr>
          <w:rFonts w:ascii="Garamond" w:hAnsi="Garamond"/>
          <w:i/>
          <w:iCs/>
        </w:rPr>
        <w:t xml:space="preserve"> </w:t>
      </w:r>
      <w:r w:rsidRPr="00871AD2">
        <w:rPr>
          <w:rFonts w:ascii="Garamond" w:hAnsi="Garamond"/>
        </w:rPr>
        <w:t>every possible context; affirmations that lower taxes are necessarily always good for society; or intonations that “the invisible hand” somehow guarantees market efficiency. Uncritical adoption of such dogmas enables intuitive affirmation of the goodness of capitalist arrangements, regardless of whether such arrangements are in a fact doing what their justifications need them to do. Coupled with these dogmas is often the uncritical assumption that the seeking of profit is always good, simply because it is the seeking of profit. This acceptance is no more tenable, intellectually speaking, than dogmatic left-wing rejection.</w:t>
      </w:r>
    </w:p>
  </w:endnote>
  <w:endnote w:id="27">
    <w:p w14:paraId="186A6D19"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BEC{Heath, 2019 #187845@356}</w:instrText>
      </w:r>
      <w:r w:rsidRPr="00871AD2">
        <w:rPr>
          <w:rFonts w:ascii="Garamond" w:hAnsi="Garamond"/>
        </w:rPr>
        <w:fldChar w:fldCharType="separate"/>
      </w:r>
      <w:r w:rsidRPr="00871AD2">
        <w:rPr>
          <w:rFonts w:ascii="Garamond" w:hAnsi="Garamond"/>
        </w:rPr>
        <w:t>Heath, “Status of Profit,” 356.</w:t>
      </w:r>
      <w:r w:rsidRPr="00871AD2">
        <w:rPr>
          <w:rFonts w:ascii="Garamond" w:hAnsi="Garamond"/>
        </w:rPr>
        <w:fldChar w:fldCharType="end"/>
      </w:r>
    </w:p>
  </w:endnote>
  <w:endnote w:id="28">
    <w:p w14:paraId="45E80783"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BEC{Schmidt et al., 2022 #99273; Caruelle, 2025 #292595@743; Vogel, 2005 #286342@47-56}</w:instrText>
      </w:r>
      <w:r w:rsidRPr="00871AD2">
        <w:rPr>
          <w:rFonts w:ascii="Garamond" w:hAnsi="Garamond"/>
        </w:rPr>
        <w:fldChar w:fldCharType="separate"/>
      </w:r>
      <w:r w:rsidRPr="00871AD2">
        <w:rPr>
          <w:rFonts w:ascii="Garamond" w:hAnsi="Garamond"/>
        </w:rPr>
        <w:t xml:space="preserve">Schmidt, “Sociopolitical Activist Brands”; Caruelle, “Woke Advertising,” 743; Vogel, </w:t>
      </w:r>
      <w:r w:rsidRPr="00871AD2">
        <w:rPr>
          <w:rFonts w:ascii="Garamond" w:hAnsi="Garamond"/>
          <w:i/>
        </w:rPr>
        <w:t>Market for Virtue</w:t>
      </w:r>
      <w:r w:rsidRPr="00871AD2">
        <w:rPr>
          <w:rFonts w:ascii="Garamond" w:hAnsi="Garamond"/>
        </w:rPr>
        <w:t>, 47-56.</w:t>
      </w:r>
      <w:r w:rsidRPr="00871AD2">
        <w:rPr>
          <w:rFonts w:ascii="Garamond" w:hAnsi="Garamond"/>
        </w:rPr>
        <w:fldChar w:fldCharType="end"/>
      </w:r>
    </w:p>
  </w:endnote>
  <w:endnote w:id="29">
    <w:p w14:paraId="7175059A"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BEC{Sprout #74547}</w:instrText>
      </w:r>
      <w:r w:rsidRPr="00871AD2">
        <w:rPr>
          <w:rFonts w:ascii="Garamond" w:hAnsi="Garamond"/>
        </w:rPr>
        <w:fldChar w:fldCharType="separate"/>
      </w:r>
      <w:r w:rsidRPr="00871AD2">
        <w:rPr>
          <w:rFonts w:ascii="Garamond" w:hAnsi="Garamond"/>
        </w:rPr>
        <w:t>Sprout, “#brandsgetreal: Brands Creating Change in the Conscious Consumer Era.” (2019): https://sproutsocial.com/insights/data/brands-creating-change/.</w:t>
      </w:r>
      <w:r w:rsidRPr="00871AD2">
        <w:rPr>
          <w:rFonts w:ascii="Garamond" w:hAnsi="Garamond"/>
        </w:rPr>
        <w:fldChar w:fldCharType="end"/>
      </w:r>
    </w:p>
  </w:endnote>
  <w:endnote w:id="30">
    <w:p w14:paraId="3164DD0E"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BEC{MacDonald, 2019 #152217@920-25; Pettit, 2007 #186019}</w:instrText>
      </w:r>
      <w:r w:rsidRPr="00871AD2">
        <w:rPr>
          <w:rFonts w:ascii="Garamond" w:hAnsi="Garamond"/>
        </w:rPr>
        <w:fldChar w:fldCharType="separate"/>
      </w:r>
      <w:r w:rsidRPr="00871AD2">
        <w:rPr>
          <w:rFonts w:ascii="Garamond" w:hAnsi="Garamond"/>
        </w:rPr>
        <w:t xml:space="preserve">MacDonald, “Corporate Moral Motivation,” 920-25; Philip Pettit, “Responsibility Incorporated,” </w:t>
      </w:r>
      <w:r w:rsidRPr="00871AD2">
        <w:rPr>
          <w:rFonts w:ascii="Garamond" w:hAnsi="Garamond"/>
          <w:i/>
        </w:rPr>
        <w:t>Ethics</w:t>
      </w:r>
      <w:r w:rsidRPr="00871AD2">
        <w:rPr>
          <w:rFonts w:ascii="Garamond" w:hAnsi="Garamond"/>
        </w:rPr>
        <w:t xml:space="preserve"> 117, no. 2 (2007).</w:t>
      </w:r>
      <w:r w:rsidRPr="00871AD2">
        <w:rPr>
          <w:rFonts w:ascii="Garamond" w:hAnsi="Garamond"/>
        </w:rPr>
        <w:fldChar w:fldCharType="end"/>
      </w:r>
    </w:p>
  </w:endnote>
  <w:endnote w:id="31">
    <w:p w14:paraId="05814286"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BEC{MacDonald, 2019 #152217@925}</w:instrText>
      </w:r>
      <w:r w:rsidRPr="00871AD2">
        <w:rPr>
          <w:rFonts w:ascii="Garamond" w:hAnsi="Garamond"/>
        </w:rPr>
        <w:fldChar w:fldCharType="separate"/>
      </w:r>
      <w:r w:rsidRPr="00871AD2">
        <w:rPr>
          <w:rFonts w:ascii="Garamond" w:hAnsi="Garamond"/>
        </w:rPr>
        <w:t>MacDonald, “Corporate Moral Motivation,” 925.</w:t>
      </w:r>
      <w:r w:rsidRPr="00871AD2">
        <w:rPr>
          <w:rFonts w:ascii="Garamond" w:hAnsi="Garamond"/>
        </w:rPr>
        <w:fldChar w:fldCharType="end"/>
      </w:r>
    </w:p>
  </w:endnote>
  <w:endnote w:id="32">
    <w:p w14:paraId="4AE1B963"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BEC{Vogel, 2005 #286342@56-60}</w:instrText>
      </w:r>
      <w:r w:rsidRPr="00871AD2">
        <w:rPr>
          <w:rFonts w:ascii="Garamond" w:hAnsi="Garamond"/>
        </w:rPr>
        <w:fldChar w:fldCharType="separate"/>
      </w:r>
      <w:r w:rsidRPr="00871AD2">
        <w:rPr>
          <w:rFonts w:ascii="Garamond" w:hAnsi="Garamond"/>
        </w:rPr>
        <w:t xml:space="preserve">Vogel, </w:t>
      </w:r>
      <w:r w:rsidRPr="00871AD2">
        <w:rPr>
          <w:rFonts w:ascii="Garamond" w:hAnsi="Garamond"/>
          <w:i/>
        </w:rPr>
        <w:t>Market for Virtue</w:t>
      </w:r>
      <w:r w:rsidRPr="00871AD2">
        <w:rPr>
          <w:rFonts w:ascii="Garamond" w:hAnsi="Garamond"/>
        </w:rPr>
        <w:t>, 56-60.</w:t>
      </w:r>
      <w:r w:rsidRPr="00871AD2">
        <w:rPr>
          <w:rFonts w:ascii="Garamond" w:hAnsi="Garamond"/>
        </w:rPr>
        <w:fldChar w:fldCharType="end"/>
      </w:r>
    </w:p>
  </w:endnote>
  <w:endnote w:id="33">
    <w:p w14:paraId="5091F955"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BEC{Grossman, 1995 #119129}</w:instrText>
      </w:r>
      <w:r w:rsidRPr="00871AD2">
        <w:rPr>
          <w:rFonts w:ascii="Garamond" w:hAnsi="Garamond"/>
        </w:rPr>
        <w:fldChar w:fldCharType="separate"/>
      </w:r>
      <w:r w:rsidRPr="00871AD2">
        <w:rPr>
          <w:rFonts w:ascii="Garamond" w:hAnsi="Garamond"/>
        </w:rPr>
        <w:t xml:space="preserve">Dave Grossman, </w:t>
      </w:r>
      <w:r w:rsidRPr="00871AD2">
        <w:rPr>
          <w:rFonts w:ascii="Garamond" w:hAnsi="Garamond"/>
          <w:i/>
        </w:rPr>
        <w:t xml:space="preserve">On Killing: The Psychological Cost of Learning to Kill in War and Society </w:t>
      </w:r>
      <w:r w:rsidRPr="00871AD2">
        <w:rPr>
          <w:rFonts w:ascii="Garamond" w:hAnsi="Garamond"/>
        </w:rPr>
        <w:t>(Boston, MA: Little, Brown, 1995).</w:t>
      </w:r>
      <w:r w:rsidRPr="00871AD2">
        <w:rPr>
          <w:rFonts w:ascii="Garamond" w:hAnsi="Garamond"/>
        </w:rPr>
        <w:fldChar w:fldCharType="end"/>
      </w:r>
    </w:p>
  </w:endnote>
  <w:endnote w:id="34">
    <w:p w14:paraId="0B172113"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BEC{Williams, 2023 #99989@116, 117}</w:instrText>
      </w:r>
      <w:r w:rsidRPr="00871AD2">
        <w:rPr>
          <w:rFonts w:ascii="Garamond" w:hAnsi="Garamond"/>
        </w:rPr>
        <w:fldChar w:fldCharType="separate"/>
      </w:r>
      <w:r w:rsidRPr="00871AD2">
        <w:rPr>
          <w:rFonts w:ascii="Garamond" w:hAnsi="Garamond"/>
        </w:rPr>
        <w:t xml:space="preserve">Daniel Williams, “The Marketplace of Rationalizations,” </w:t>
      </w:r>
      <w:r w:rsidRPr="00871AD2">
        <w:rPr>
          <w:rFonts w:ascii="Garamond" w:hAnsi="Garamond"/>
          <w:i/>
        </w:rPr>
        <w:t>Economics and Philosophy</w:t>
      </w:r>
      <w:r w:rsidRPr="00871AD2">
        <w:rPr>
          <w:rFonts w:ascii="Garamond" w:hAnsi="Garamond"/>
        </w:rPr>
        <w:t xml:space="preserve"> 39, no. 1 (2023), 116, 117.</w:t>
      </w:r>
      <w:r w:rsidRPr="00871AD2">
        <w:rPr>
          <w:rFonts w:ascii="Garamond" w:hAnsi="Garamond"/>
        </w:rPr>
        <w:fldChar w:fldCharType="end"/>
      </w:r>
    </w:p>
  </w:endnote>
  <w:endnote w:id="35">
    <w:p w14:paraId="115C9EA9"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BEC{Queloz, 2021 #56429; Queloz, 2021 #16128@54-56}</w:instrText>
      </w:r>
      <w:r w:rsidRPr="00871AD2">
        <w:rPr>
          <w:rFonts w:ascii="Garamond" w:hAnsi="Garamond"/>
        </w:rPr>
        <w:fldChar w:fldCharType="separate"/>
      </w:r>
      <w:r w:rsidRPr="00871AD2">
        <w:rPr>
          <w:rFonts w:ascii="Garamond" w:hAnsi="Garamond"/>
        </w:rPr>
        <w:t xml:space="preserve">Matthieu Queloz, “The Self-Effacing Functionality of Blame,” </w:t>
      </w:r>
      <w:r w:rsidRPr="00871AD2">
        <w:rPr>
          <w:rFonts w:ascii="Garamond" w:hAnsi="Garamond"/>
          <w:i/>
        </w:rPr>
        <w:t>Philosophical Studies</w:t>
      </w:r>
      <w:r w:rsidRPr="00871AD2">
        <w:rPr>
          <w:rFonts w:ascii="Garamond" w:hAnsi="Garamond"/>
        </w:rPr>
        <w:t xml:space="preserve"> 178, no. 4 (2021); Matthieu Queloz, </w:t>
      </w:r>
      <w:r w:rsidRPr="00871AD2">
        <w:rPr>
          <w:rFonts w:ascii="Garamond" w:hAnsi="Garamond"/>
          <w:i/>
        </w:rPr>
        <w:t xml:space="preserve">The Practical Origins of Ideas: Genealogy as Conceptual Reverse-Engineering </w:t>
      </w:r>
      <w:r w:rsidRPr="00871AD2">
        <w:rPr>
          <w:rFonts w:ascii="Garamond" w:hAnsi="Garamond"/>
        </w:rPr>
        <w:t>(Oxford: Oxford University Press, 2021), 54-56.</w:t>
      </w:r>
      <w:r w:rsidRPr="00871AD2">
        <w:rPr>
          <w:rFonts w:ascii="Garamond" w:hAnsi="Garamond"/>
        </w:rPr>
        <w:fldChar w:fldCharType="end"/>
      </w:r>
    </w:p>
  </w:endnote>
  <w:endnote w:id="36">
    <w:p w14:paraId="293F7B2F"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Interestingly, this does not preclude the end result being that a corporation </w:t>
      </w:r>
      <w:r w:rsidRPr="00871AD2">
        <w:rPr>
          <w:rFonts w:ascii="Garamond" w:hAnsi="Garamond"/>
          <w:i/>
          <w:iCs/>
        </w:rPr>
        <w:t xml:space="preserve">as a whole </w:t>
      </w:r>
      <w:r w:rsidRPr="00871AD2">
        <w:rPr>
          <w:rFonts w:ascii="Garamond" w:hAnsi="Garamond"/>
        </w:rPr>
        <w:t xml:space="preserve">engages in woke-washing and/or woke-signalling. It just means that some of the human actors involved in producing that final outcome are not </w:t>
      </w:r>
      <w:r w:rsidRPr="00871AD2">
        <w:rPr>
          <w:rFonts w:ascii="Garamond" w:hAnsi="Garamond"/>
          <w:i/>
          <w:iCs/>
        </w:rPr>
        <w:t>themselves</w:t>
      </w:r>
      <w:r w:rsidRPr="00871AD2">
        <w:rPr>
          <w:rFonts w:ascii="Garamond" w:hAnsi="Garamond"/>
        </w:rPr>
        <w:t xml:space="preserve"> consciously engaged in it. Such are the complexities of corporate action, on which see </w:t>
      </w:r>
      <w:r w:rsidRPr="00871AD2">
        <w:rPr>
          <w:rFonts w:ascii="Garamond" w:hAnsi="Garamond"/>
        </w:rPr>
        <w:fldChar w:fldCharType="begin"/>
      </w:r>
      <w:r w:rsidRPr="00871AD2">
        <w:rPr>
          <w:rFonts w:ascii="Garamond" w:hAnsi="Garamond"/>
        </w:rPr>
        <w:instrText>ADDIN BEC{MacDonald, 2019 #152217}</w:instrText>
      </w:r>
      <w:r w:rsidRPr="00871AD2">
        <w:rPr>
          <w:rFonts w:ascii="Garamond" w:hAnsi="Garamond"/>
        </w:rPr>
        <w:fldChar w:fldCharType="separate"/>
      </w:r>
      <w:r w:rsidRPr="00871AD2">
        <w:rPr>
          <w:rFonts w:ascii="Garamond" w:hAnsi="Garamond"/>
        </w:rPr>
        <w:t>MacDonald, “Corporate Moral Motivation.”</w:t>
      </w:r>
      <w:r w:rsidRPr="00871AD2">
        <w:rPr>
          <w:rFonts w:ascii="Garamond" w:hAnsi="Garamond"/>
        </w:rPr>
        <w:fldChar w:fldCharType="end"/>
      </w:r>
    </w:p>
  </w:endnote>
  <w:endnote w:id="37">
    <w:p w14:paraId="03657FFD"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BEC{Myers, 2023 #297268}</w:instrText>
      </w:r>
      <w:r w:rsidRPr="00871AD2">
        <w:rPr>
          <w:rFonts w:ascii="Garamond" w:hAnsi="Garamond"/>
        </w:rPr>
        <w:fldChar w:fldCharType="separate"/>
      </w:r>
      <w:r w:rsidRPr="00871AD2">
        <w:rPr>
          <w:rFonts w:ascii="Garamond" w:hAnsi="Garamond"/>
        </w:rPr>
        <w:t xml:space="preserve">Myers, Owen, “‘Panic and Rash Decision-Making’: Ex-Bud Light Staff on One of the Biggest Boycotts in Us History.” </w:t>
      </w:r>
      <w:r w:rsidRPr="00871AD2">
        <w:rPr>
          <w:rFonts w:ascii="Garamond" w:hAnsi="Garamond"/>
          <w:i/>
        </w:rPr>
        <w:t>The Guardian</w:t>
      </w:r>
      <w:r w:rsidRPr="00871AD2">
        <w:rPr>
          <w:rFonts w:ascii="Garamond" w:hAnsi="Garamond"/>
        </w:rPr>
        <w:t>, 2023.</w:t>
      </w:r>
      <w:r w:rsidRPr="00871AD2">
        <w:rPr>
          <w:rFonts w:ascii="Garamond" w:hAnsi="Garamond"/>
        </w:rPr>
        <w:fldChar w:fldCharType="end"/>
      </w:r>
    </w:p>
  </w:endnote>
  <w:endnote w:id="38">
    <w:p w14:paraId="67EBAC14"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BEC{Caruelle, 2025 #292595; Ancell, 2025 #137268@459}</w:instrText>
      </w:r>
      <w:r w:rsidRPr="00871AD2">
        <w:rPr>
          <w:rFonts w:ascii="Garamond" w:hAnsi="Garamond"/>
        </w:rPr>
        <w:fldChar w:fldCharType="separate"/>
      </w:r>
      <w:r w:rsidRPr="00871AD2">
        <w:rPr>
          <w:rFonts w:ascii="Garamond" w:hAnsi="Garamond"/>
        </w:rPr>
        <w:t xml:space="preserve">Caruelle, “Woke Advertising”; Aaron Ancell, “Does Corporate Political Advocacy Wrong Shareholders?,” </w:t>
      </w:r>
      <w:r w:rsidRPr="00871AD2">
        <w:rPr>
          <w:rFonts w:ascii="Garamond" w:hAnsi="Garamond"/>
          <w:i/>
        </w:rPr>
        <w:t>Journal of Business Ethics</w:t>
      </w:r>
      <w:r w:rsidRPr="00871AD2">
        <w:rPr>
          <w:rFonts w:ascii="Garamond" w:hAnsi="Garamond"/>
        </w:rPr>
        <w:t xml:space="preserve"> 202, no. 3 (2025), 459.</w:t>
      </w:r>
      <w:r w:rsidRPr="00871AD2">
        <w:rPr>
          <w:rFonts w:ascii="Garamond" w:hAnsi="Garamond"/>
        </w:rPr>
        <w:fldChar w:fldCharType="end"/>
      </w:r>
    </w:p>
  </w:endnote>
  <w:endnote w:id="39">
    <w:p w14:paraId="57356AAF" w14:textId="77777777" w:rsidR="00871AD2" w:rsidRPr="00871AD2" w:rsidRDefault="00871AD2" w:rsidP="00871AD2">
      <w:pPr>
        <w:pStyle w:val="EndnoteText"/>
        <w:spacing w:line="480" w:lineRule="auto"/>
        <w:rPr>
          <w:rFonts w:ascii="Garamond" w:hAnsi="Garamond"/>
        </w:rPr>
      </w:pPr>
      <w:r w:rsidRPr="00871AD2">
        <w:rPr>
          <w:rStyle w:val="EndnoteReference"/>
          <w:rFonts w:ascii="Garamond" w:hAnsi="Garamond"/>
        </w:rPr>
        <w:endnoteRef/>
      </w:r>
      <w:r w:rsidRPr="00871AD2">
        <w:rPr>
          <w:rFonts w:ascii="Garamond" w:hAnsi="Garamond"/>
        </w:rPr>
        <w:t xml:space="preserve"> </w:t>
      </w:r>
      <w:r w:rsidRPr="00871AD2">
        <w:rPr>
          <w:rFonts w:ascii="Garamond" w:hAnsi="Garamond"/>
        </w:rPr>
        <w:fldChar w:fldCharType="begin"/>
      </w:r>
      <w:r w:rsidRPr="00871AD2">
        <w:rPr>
          <w:rFonts w:ascii="Garamond" w:hAnsi="Garamond"/>
        </w:rPr>
        <w:instrText>ADDIN BEC{Caruelle, 2025 #292595@758}</w:instrText>
      </w:r>
      <w:r w:rsidRPr="00871AD2">
        <w:rPr>
          <w:rFonts w:ascii="Garamond" w:hAnsi="Garamond"/>
        </w:rPr>
        <w:fldChar w:fldCharType="separate"/>
      </w:r>
      <w:r w:rsidRPr="00871AD2">
        <w:rPr>
          <w:rFonts w:ascii="Garamond" w:hAnsi="Garamond"/>
        </w:rPr>
        <w:t>Caruelle, “Woke Advertising,” 758.</w:t>
      </w:r>
      <w:r w:rsidRPr="00871AD2">
        <w:rPr>
          <w:rFonts w:ascii="Garamond" w:hAnsi="Garamond"/>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2E3C" w14:textId="77777777" w:rsidR="00871AD2" w:rsidRDefault="00871AD2" w:rsidP="00B5291C">
    <w:pPr>
      <w:pStyle w:val="Footer"/>
      <w:framePr w:wrap="none"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end"/>
    </w:r>
  </w:p>
  <w:p w14:paraId="1FEB7FDA" w14:textId="77777777" w:rsidR="00871AD2" w:rsidRDefault="00871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8FCF8" w14:textId="77777777" w:rsidR="00871AD2" w:rsidRDefault="00871AD2" w:rsidP="00B5291C">
    <w:pPr>
      <w:pStyle w:val="Footer"/>
      <w:framePr w:wrap="none"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22</w:t>
    </w:r>
    <w:r>
      <w:rPr>
        <w:rStyle w:val="PageNumber"/>
        <w:rFonts w:eastAsiaTheme="majorEastAsia"/>
      </w:rPr>
      <w:fldChar w:fldCharType="end"/>
    </w:r>
  </w:p>
  <w:p w14:paraId="7EEDB279" w14:textId="77777777" w:rsidR="00871AD2" w:rsidRDefault="00871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2B71B" w14:textId="77777777" w:rsidR="00B62D60" w:rsidRDefault="00B62D60" w:rsidP="00871AD2">
      <w:r>
        <w:separator/>
      </w:r>
    </w:p>
  </w:footnote>
  <w:footnote w:type="continuationSeparator" w:id="0">
    <w:p w14:paraId="3ABD36A6" w14:textId="77777777" w:rsidR="00B62D60" w:rsidRDefault="00B62D60" w:rsidP="00871A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F28A0"/>
    <w:multiLevelType w:val="hybridMultilevel"/>
    <w:tmpl w:val="FFFFFFFF"/>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854542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6"/>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AD2"/>
    <w:rsid w:val="00077F96"/>
    <w:rsid w:val="000B4462"/>
    <w:rsid w:val="00231EBF"/>
    <w:rsid w:val="002C3788"/>
    <w:rsid w:val="003C544B"/>
    <w:rsid w:val="003E1183"/>
    <w:rsid w:val="00625041"/>
    <w:rsid w:val="006863F6"/>
    <w:rsid w:val="006C3946"/>
    <w:rsid w:val="006D34E8"/>
    <w:rsid w:val="006E151B"/>
    <w:rsid w:val="006E3128"/>
    <w:rsid w:val="006F1741"/>
    <w:rsid w:val="007431FC"/>
    <w:rsid w:val="007A4EE1"/>
    <w:rsid w:val="007A5208"/>
    <w:rsid w:val="00801DCC"/>
    <w:rsid w:val="00871AD2"/>
    <w:rsid w:val="00891738"/>
    <w:rsid w:val="00963903"/>
    <w:rsid w:val="009F79AF"/>
    <w:rsid w:val="00A87911"/>
    <w:rsid w:val="00B14EFA"/>
    <w:rsid w:val="00B15DF8"/>
    <w:rsid w:val="00B62D60"/>
    <w:rsid w:val="00B92F38"/>
    <w:rsid w:val="00C0622E"/>
    <w:rsid w:val="00C857D7"/>
    <w:rsid w:val="00CC3FD4"/>
    <w:rsid w:val="00D1085B"/>
    <w:rsid w:val="00DB6480"/>
    <w:rsid w:val="00E35C0A"/>
    <w:rsid w:val="00F32493"/>
    <w:rsid w:val="00F33E6E"/>
    <w:rsid w:val="00F52049"/>
    <w:rsid w:val="00F57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14EC6"/>
  <w15:chartTrackingRefBased/>
  <w15:docId w15:val="{2A09FDA6-FD0C-D34E-8CA8-5F658AAD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1A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1A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1A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1A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1A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1AD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1A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1A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1A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1A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1A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1A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1A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1A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1A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1A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1A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1AD2"/>
    <w:rPr>
      <w:rFonts w:eastAsiaTheme="majorEastAsia" w:cstheme="majorBidi"/>
      <w:color w:val="272727" w:themeColor="text1" w:themeTint="D8"/>
    </w:rPr>
  </w:style>
  <w:style w:type="paragraph" w:styleId="Title">
    <w:name w:val="Title"/>
    <w:basedOn w:val="Normal"/>
    <w:next w:val="Normal"/>
    <w:link w:val="TitleChar"/>
    <w:uiPriority w:val="10"/>
    <w:qFormat/>
    <w:rsid w:val="00871A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1A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1AD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1A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1AD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1AD2"/>
    <w:rPr>
      <w:i/>
      <w:iCs/>
      <w:color w:val="404040" w:themeColor="text1" w:themeTint="BF"/>
    </w:rPr>
  </w:style>
  <w:style w:type="paragraph" w:styleId="ListParagraph">
    <w:name w:val="List Paragraph"/>
    <w:basedOn w:val="Normal"/>
    <w:uiPriority w:val="34"/>
    <w:qFormat/>
    <w:rsid w:val="00871AD2"/>
    <w:pPr>
      <w:ind w:left="720"/>
      <w:contextualSpacing/>
    </w:pPr>
  </w:style>
  <w:style w:type="character" w:styleId="IntenseEmphasis">
    <w:name w:val="Intense Emphasis"/>
    <w:basedOn w:val="DefaultParagraphFont"/>
    <w:uiPriority w:val="21"/>
    <w:qFormat/>
    <w:rsid w:val="00871AD2"/>
    <w:rPr>
      <w:i/>
      <w:iCs/>
      <w:color w:val="0F4761" w:themeColor="accent1" w:themeShade="BF"/>
    </w:rPr>
  </w:style>
  <w:style w:type="paragraph" w:styleId="IntenseQuote">
    <w:name w:val="Intense Quote"/>
    <w:basedOn w:val="Normal"/>
    <w:next w:val="Normal"/>
    <w:link w:val="IntenseQuoteChar"/>
    <w:uiPriority w:val="30"/>
    <w:qFormat/>
    <w:rsid w:val="00871A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1AD2"/>
    <w:rPr>
      <w:i/>
      <w:iCs/>
      <w:color w:val="0F4761" w:themeColor="accent1" w:themeShade="BF"/>
    </w:rPr>
  </w:style>
  <w:style w:type="character" w:styleId="IntenseReference">
    <w:name w:val="Intense Reference"/>
    <w:basedOn w:val="DefaultParagraphFont"/>
    <w:uiPriority w:val="32"/>
    <w:qFormat/>
    <w:rsid w:val="00871AD2"/>
    <w:rPr>
      <w:b/>
      <w:bCs/>
      <w:smallCaps/>
      <w:color w:val="0F4761" w:themeColor="accent1" w:themeShade="BF"/>
      <w:spacing w:val="5"/>
    </w:rPr>
  </w:style>
  <w:style w:type="paragraph" w:styleId="FootnoteText">
    <w:name w:val="footnote text"/>
    <w:basedOn w:val="Normal"/>
    <w:link w:val="FootnoteTextChar"/>
    <w:uiPriority w:val="99"/>
    <w:semiHidden/>
    <w:unhideWhenUsed/>
    <w:rsid w:val="00871AD2"/>
    <w:rPr>
      <w:rFonts w:eastAsia="Times New Roman" w:cs="Times New Roman"/>
      <w:sz w:val="20"/>
      <w:szCs w:val="20"/>
      <w14:ligatures w14:val="none"/>
    </w:rPr>
  </w:style>
  <w:style w:type="character" w:customStyle="1" w:styleId="FootnoteTextChar">
    <w:name w:val="Footnote Text Char"/>
    <w:basedOn w:val="DefaultParagraphFont"/>
    <w:link w:val="FootnoteText"/>
    <w:uiPriority w:val="99"/>
    <w:semiHidden/>
    <w:rsid w:val="00871AD2"/>
    <w:rPr>
      <w:rFonts w:eastAsia="Times New Roman" w:cs="Times New Roman"/>
      <w:sz w:val="20"/>
      <w:szCs w:val="20"/>
      <w14:ligatures w14:val="none"/>
    </w:rPr>
  </w:style>
  <w:style w:type="character" w:styleId="FootnoteReference">
    <w:name w:val="footnote reference"/>
    <w:basedOn w:val="DefaultParagraphFont"/>
    <w:uiPriority w:val="99"/>
    <w:semiHidden/>
    <w:unhideWhenUsed/>
    <w:rsid w:val="00871AD2"/>
    <w:rPr>
      <w:rFonts w:cs="Times New Roman"/>
      <w:vertAlign w:val="superscript"/>
    </w:rPr>
  </w:style>
  <w:style w:type="paragraph" w:styleId="Footer">
    <w:name w:val="footer"/>
    <w:basedOn w:val="Normal"/>
    <w:link w:val="FooterChar"/>
    <w:uiPriority w:val="99"/>
    <w:unhideWhenUsed/>
    <w:rsid w:val="00871AD2"/>
    <w:pPr>
      <w:tabs>
        <w:tab w:val="center" w:pos="4513"/>
        <w:tab w:val="right" w:pos="9026"/>
      </w:tabs>
    </w:pPr>
    <w:rPr>
      <w:rFonts w:eastAsia="Times New Roman" w:cs="Times New Roman"/>
      <w14:ligatures w14:val="none"/>
    </w:rPr>
  </w:style>
  <w:style w:type="character" w:customStyle="1" w:styleId="FooterChar">
    <w:name w:val="Footer Char"/>
    <w:basedOn w:val="DefaultParagraphFont"/>
    <w:link w:val="Footer"/>
    <w:uiPriority w:val="99"/>
    <w:rsid w:val="00871AD2"/>
    <w:rPr>
      <w:rFonts w:eastAsia="Times New Roman" w:cs="Times New Roman"/>
      <w14:ligatures w14:val="none"/>
    </w:rPr>
  </w:style>
  <w:style w:type="character" w:styleId="Hyperlink">
    <w:name w:val="Hyperlink"/>
    <w:basedOn w:val="DefaultParagraphFont"/>
    <w:uiPriority w:val="99"/>
    <w:unhideWhenUsed/>
    <w:rsid w:val="00871AD2"/>
    <w:rPr>
      <w:rFonts w:cs="Times New Roman"/>
      <w:color w:val="467886" w:themeColor="hyperlink"/>
      <w:u w:val="single"/>
    </w:rPr>
  </w:style>
  <w:style w:type="character" w:styleId="PageNumber">
    <w:name w:val="page number"/>
    <w:basedOn w:val="DefaultParagraphFont"/>
    <w:uiPriority w:val="99"/>
    <w:semiHidden/>
    <w:unhideWhenUsed/>
    <w:rsid w:val="00871AD2"/>
    <w:rPr>
      <w:rFonts w:cs="Times New Roman"/>
    </w:rPr>
  </w:style>
  <w:style w:type="paragraph" w:styleId="EndnoteText">
    <w:name w:val="endnote text"/>
    <w:basedOn w:val="Normal"/>
    <w:link w:val="EndnoteTextChar"/>
    <w:uiPriority w:val="99"/>
    <w:semiHidden/>
    <w:unhideWhenUsed/>
    <w:rsid w:val="00871AD2"/>
    <w:rPr>
      <w:sz w:val="20"/>
      <w:szCs w:val="20"/>
    </w:rPr>
  </w:style>
  <w:style w:type="character" w:customStyle="1" w:styleId="EndnoteTextChar">
    <w:name w:val="Endnote Text Char"/>
    <w:basedOn w:val="DefaultParagraphFont"/>
    <w:link w:val="EndnoteText"/>
    <w:uiPriority w:val="99"/>
    <w:semiHidden/>
    <w:rsid w:val="00871AD2"/>
    <w:rPr>
      <w:sz w:val="20"/>
      <w:szCs w:val="20"/>
    </w:rPr>
  </w:style>
  <w:style w:type="character" w:styleId="EndnoteReference">
    <w:name w:val="endnote reference"/>
    <w:basedOn w:val="DefaultParagraphFont"/>
    <w:uiPriority w:val="99"/>
    <w:semiHidden/>
    <w:unhideWhenUsed/>
    <w:rsid w:val="00871AD2"/>
    <w:rPr>
      <w:vertAlign w:val="superscript"/>
    </w:rPr>
  </w:style>
  <w:style w:type="paragraph" w:styleId="NoSpacing">
    <w:name w:val="No Spacing"/>
    <w:link w:val="NoSpacingChar"/>
    <w:uiPriority w:val="1"/>
    <w:qFormat/>
    <w:rsid w:val="00625041"/>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625041"/>
    <w:rPr>
      <w:rFonts w:eastAsiaTheme="minorEastAsia"/>
      <w:kern w:val="0"/>
      <w:sz w:val="22"/>
      <w:szCs w:val="22"/>
      <w:lang w:val="en-US" w:eastAsia="zh-CN"/>
      <w14:ligatures w14:val="none"/>
    </w:rPr>
  </w:style>
  <w:style w:type="paragraph" w:styleId="Header">
    <w:name w:val="header"/>
    <w:basedOn w:val="Normal"/>
    <w:link w:val="HeaderChar"/>
    <w:uiPriority w:val="99"/>
    <w:unhideWhenUsed/>
    <w:rsid w:val="003C544B"/>
    <w:pPr>
      <w:tabs>
        <w:tab w:val="center" w:pos="4513"/>
        <w:tab w:val="right" w:pos="9026"/>
      </w:tabs>
    </w:pPr>
  </w:style>
  <w:style w:type="character" w:customStyle="1" w:styleId="HeaderChar">
    <w:name w:val="Header Char"/>
    <w:basedOn w:val="DefaultParagraphFont"/>
    <w:link w:val="Header"/>
    <w:uiPriority w:val="99"/>
    <w:rsid w:val="003C5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endnotes.xml.rels><?xml version="1.0" encoding="UTF-8" standalone="yes"?>
<Relationships xmlns="http://schemas.openxmlformats.org/package/2006/relationships"><Relationship Id="rId1" Type="http://schemas.openxmlformats.org/officeDocument/2006/relationships/hyperlink" Target="https://youtu.be/W2firijxQOo?si=5D1VpiEDTZ6YTwf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39FE9-3EB7-C04B-8E3C-65EF869FF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30</Pages>
  <Words>7760</Words>
  <Characters>45710</Characters>
  <Application>Microsoft Office Word</Application>
  <DocSecurity>0</DocSecurity>
  <Lines>617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values of the carphone warehouse</dc:title>
  <dc:subject>Paul Sagar, King’s College London</dc:subject>
  <dc:creator>Why are brands sometimes marketed as having values? According to what I term the Cynical Take, this is always – and can only ever be – a disingenuous ploy to make profit. Yet the Cynical Take is not enough; if we rely on it to explain all and every circumstance, we will fail to appreciate important features and nuances of ethical life under capitalism. To see why this is so, we must properly appreciate the nature of profit seeking, whilst recognizing that it necessarily clashes with widely shared moral intuitions emanating from baseline commitments to group cooperation. Once this is recognized, we see that properly appreciating the moral phenomenology of consumer capitalism requires more than cynicism.</dc:creator>
  <cp:keywords/>
  <dc:description/>
  <cp:lastModifiedBy>Paul Sagar</cp:lastModifiedBy>
  <cp:revision>26</cp:revision>
  <dcterms:created xsi:type="dcterms:W3CDTF">2026-04-03T13:41:00Z</dcterms:created>
  <dcterms:modified xsi:type="dcterms:W3CDTF">2026-05-28T17:27:00Z</dcterms:modified>
</cp:coreProperties>
</file>